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tm2531676d1_8k.htm"/>
      <w:bookmarkStart w:id="1" w:name="kstm2531676d1_8k"/>
      <w:bookmarkStart w:id="2" w:name="tm2531676d1_8k.htm"/>
      <w:bookmarkStart w:id="3" w:name="kstm2531676d1_8k"/>
      <w:bookmarkEnd w:id="2"/>
      <w:bookmarkEnd w:id="3"/>
    </w:p>
    <w:tbl>
      <w:tblPr>
        <w:tblW w:w="3864" w:type="dxa"/>
        <w:jc w:val="left"/>
        <w:tblInd w:w="0" w:type="dxa"/>
        <w:tblLayout w:type="fixed"/>
        <w:tblCellMar>
          <w:top w:w="28" w:type="dxa"/>
          <w:left w:w="28" w:type="dxa"/>
          <w:bottom w:w="28" w:type="dxa"/>
          <w:right w:w="28" w:type="dxa"/>
        </w:tblCellMar>
      </w:tblPr>
      <w:tblGrid>
        <w:gridCol w:w="3031"/>
        <w:gridCol w:w="146"/>
        <w:gridCol w:w="496"/>
        <w:gridCol w:w="191"/>
      </w:tblGrid>
      <w:tr>
        <w:trPr/>
        <w:tc>
          <w:tcPr>
            <w:tcW w:w="3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 w:name="xdx_905_edei--Security12bTitle_dxL_c2025"/>
            <w:bookmarkEnd w:id="4"/>
            <w:r>
              <w:rPr>
                <w:rFonts w:ascii="Times New Roman;Times;Serif" w:hAnsi="Times New Roman;Times;Serif"/>
                <w:b w:val="false"/>
                <w:i w:val="false"/>
                <w:caps w:val="false"/>
                <w:smallCaps w:val="false"/>
                <w:sz w:val="20"/>
              </w:rPr>
              <w:t>Common Shares, Without Par Value</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0_edei--TradingSymbol_dxL_c2025111"/>
            <w:bookmarkEnd w:id="5"/>
            <w:r>
              <w:rPr>
                <w:rFonts w:ascii="Times New Roman;Times;Serif" w:hAnsi="Times New Roman;Times;Serif"/>
                <w:b w:val="false"/>
                <w:i w:val="false"/>
                <w:caps w:val="false"/>
                <w:smallCaps w:val="false"/>
                <w:sz w:val="20"/>
              </w:rPr>
              <w:t>ABT</w:t>
            </w:r>
          </w:p>
        </w:tc>
        <w:tc>
          <w:tcPr>
            <w:tcW w:w="191" w:type="dxa"/>
            <w:tcBorders/>
            <w:vAlign w:val="center"/>
          </w:tcPr>
          <w:p>
            <w:pPr>
              <w:pStyle w:val="TableContents"/>
              <w:bidi w:val="0"/>
              <w:spacing w:before="0" w:after="283"/>
              <w:jc w:val="left"/>
              <w:rPr/>
            </w:pPr>
            <w:r>
              <w:rPr/>
              <w:t> </w:t>
            </w:r>
          </w:p>
        </w:tc>
      </w:tr>
    </w:tbl>
    <w:p>
      <w:pPr>
        <w:pStyle w:val="TextBody"/>
        <w:bidi w:val="0"/>
        <w:spacing w:before="240" w:after="6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Washington, D. 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w:t>
      </w:r>
      <w:bookmarkStart w:id="6" w:name="xdx_903_edei--DocumentType_c20251118__20"/>
      <w:bookmarkEnd w:id="6"/>
      <w:r>
        <w:rPr>
          <w:rFonts w:ascii="Times New Roman;Times;Serif" w:hAnsi="Times New Roman;Times;Serif"/>
          <w:b/>
          <w:i w:val="false"/>
          <w:caps w:val="false"/>
          <w:smallCaps w:val="false"/>
          <w:sz w:val="24"/>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E_edei--DocumentPeriodEndDate_c202"/>
      <w:bookmarkEnd w:id="7"/>
      <w:r>
        <w:rPr>
          <w:rFonts w:ascii="Times New Roman;Times;Serif" w:hAnsi="Times New Roman;Times;Serif"/>
          <w:b/>
          <w:i w:val="false"/>
          <w:caps w:val="false"/>
          <w:smallCaps w:val="false"/>
          <w:sz w:val="20"/>
        </w:rPr>
        <w:t>November 18,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8" w:name="xdx_90F_edei--EntityRegistrantName_c2025"/>
      <w:bookmarkEnd w:id="8"/>
      <w:r>
        <w:rPr>
          <w:rFonts w:ascii="Times New Roman;Times;Serif" w:hAnsi="Times New Roman;Times;Serif"/>
          <w:b/>
          <w:i w:val="false"/>
          <w:caps w:val="false"/>
          <w:smallCaps w:val="false"/>
          <w:sz w:val="28"/>
        </w:rPr>
        <w:t>ABBOTT LABORATORIES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2165"/>
        <w:gridCol w:w="60"/>
        <w:gridCol w:w="2210"/>
        <w:gridCol w:w="60"/>
        <w:gridCol w:w="1520"/>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2_edei--EntityIncorporationStateCo"/>
            <w:bookmarkEnd w:id="9"/>
            <w:r>
              <w:rPr>
                <w:rFonts w:ascii="Times New Roman;Times;Serif" w:hAnsi="Times New Roman;Times;Serif"/>
                <w:b/>
                <w:i w:val="false"/>
                <w:caps w:val="false"/>
                <w:smallCaps w:val="false"/>
                <w:sz w:val="20"/>
              </w:rPr>
              <w:t>Illinois</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8_edei--EntityFileNumber_c20251118"/>
            <w:bookmarkEnd w:id="10"/>
            <w:r>
              <w:rPr>
                <w:rFonts w:ascii="Times New Roman;Times;Serif" w:hAnsi="Times New Roman;Times;Serif"/>
                <w:b/>
                <w:i w:val="false"/>
                <w:caps w:val="false"/>
                <w:smallCaps w:val="false"/>
                <w:sz w:val="20"/>
              </w:rPr>
              <w:t>1-2189</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A_edei--EntityTaxIdentificationNum"/>
            <w:bookmarkEnd w:id="11"/>
            <w:r>
              <w:rPr>
                <w:rFonts w:ascii="Times New Roman;Times;Serif" w:hAnsi="Times New Roman;Times;Serif"/>
                <w:b/>
                <w:i w:val="false"/>
                <w:caps w:val="false"/>
                <w:smallCaps w:val="false"/>
                <w:sz w:val="20"/>
              </w:rPr>
              <w:t>36-0698440</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7_edei--EntityAddressAddressLine1_"/>
      <w:bookmarkEnd w:id="12"/>
      <w:r>
        <w:rPr>
          <w:rFonts w:ascii="Times New Roman;Times;Serif" w:hAnsi="Times New Roman;Times;Serif"/>
          <w:b/>
          <w:i w:val="false"/>
          <w:caps w:val="false"/>
          <w:smallCaps w:val="false"/>
          <w:sz w:val="20"/>
        </w:rPr>
        <w:t>100 Abbott Park Road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8_edei--EntityAddressCityOrTown_c2"/>
      <w:bookmarkEnd w:id="13"/>
      <w:r>
        <w:rPr>
          <w:rFonts w:ascii="Times New Roman;Times;Serif" w:hAnsi="Times New Roman;Times;Serif"/>
          <w:b/>
          <w:i w:val="false"/>
          <w:caps w:val="false"/>
          <w:smallCaps w:val="false"/>
          <w:sz w:val="20"/>
        </w:rPr>
        <w:t xml:space="preserve">Abbott Park, </w:t>
      </w:r>
      <w:bookmarkStart w:id="14" w:name="xdx_904_edei--EntityAddressStateOrProvin"/>
      <w:bookmarkEnd w:id="14"/>
      <w:r>
        <w:rPr>
          <w:rFonts w:ascii="Times New Roman;Times;Serif" w:hAnsi="Times New Roman;Times;Serif"/>
          <w:b/>
          <w:i w:val="false"/>
          <w:caps w:val="false"/>
          <w:smallCaps w:val="false"/>
          <w:sz w:val="20"/>
        </w:rPr>
        <w:t xml:space="preserve">Illinois </w:t>
      </w:r>
      <w:bookmarkStart w:id="15" w:name="xdx_901_edei--EntityAddressPostalZipCode"/>
      <w:bookmarkEnd w:id="15"/>
      <w:r>
        <w:rPr>
          <w:rFonts w:ascii="Times New Roman;Times;Serif" w:hAnsi="Times New Roman;Times;Serif"/>
          <w:b/>
          <w:i w:val="false"/>
          <w:caps w:val="false"/>
          <w:smallCaps w:val="false"/>
          <w:sz w:val="20"/>
        </w:rPr>
        <w:t>60064-6400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6" w:name="xdx_905_edei--CityAreaCode_c20251118__20"/>
      <w:bookmarkEnd w:id="16"/>
      <w:r>
        <w:rPr>
          <w:rFonts w:ascii="Times New Roman;Times;Serif" w:hAnsi="Times New Roman;Times;Serif"/>
          <w:b/>
          <w:i w:val="false"/>
          <w:caps w:val="false"/>
          <w:smallCaps w:val="false"/>
          <w:sz w:val="20"/>
        </w:rPr>
        <w:t xml:space="preserve">224) </w:t>
      </w:r>
      <w:bookmarkStart w:id="17" w:name="xdx_903_edei--LocalPhoneNumber_c20251118"/>
      <w:bookmarkEnd w:id="17"/>
      <w:r>
        <w:rPr>
          <w:rFonts w:ascii="Times New Roman;Times;Serif" w:hAnsi="Times New Roman;Times;Serif"/>
          <w:b/>
          <w:i w:val="false"/>
          <w:caps w:val="false"/>
          <w:smallCaps w:val="false"/>
          <w:sz w:val="20"/>
        </w:rPr>
        <w:t>667-6100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 w:right="0" w:hanging="432"/>
        <w:jc w:val="left"/>
        <w:rPr/>
      </w:pPr>
      <w:bookmarkStart w:id="18" w:name="xdx_904_edei--WrittenCommunications_c202"/>
      <w:bookmarkEnd w:id="18"/>
      <w:r>
        <w:rPr>
          <w:caps w:val="false"/>
          <w:smallCaps w:val="false"/>
        </w:rPr>
        <w:t>☐</w:t>
      </w:r>
      <w:r>
        <w:rPr/>
        <w:t xml:space="preserve">        </w:t>
      </w:r>
      <w:r>
        <w:rPr>
          <w:sz w:val="20"/>
        </w:rPr>
        <w:t>Written communications pursuant to Rule 425 under the Securities Act (17 CFR 230.425)</w:t>
      </w:r>
    </w:p>
    <w:p>
      <w:pPr>
        <w:pStyle w:val="TextBody"/>
        <w:bidi w:val="0"/>
        <w:spacing w:before="0" w:after="0"/>
        <w:ind w:left="432" w:right="0" w:hanging="432"/>
        <w:jc w:val="left"/>
        <w:rPr/>
      </w:pPr>
      <w:bookmarkStart w:id="19" w:name="xdx_902_edei--SolicitingMaterial_c202511"/>
      <w:bookmarkEnd w:id="19"/>
      <w:r>
        <w:rPr>
          <w:caps w:val="false"/>
          <w:smallCaps w:val="false"/>
        </w:rPr>
        <w:t>☐</w:t>
      </w:r>
      <w:r>
        <w:rPr/>
        <w:t xml:space="preserve">        </w:t>
      </w:r>
      <w:r>
        <w:rPr>
          <w:sz w:val="20"/>
        </w:rPr>
        <w:t>Soliciting material pursuant to Rule 14a-12 under the Exchange Act (17 CFR 240.14a-12)</w:t>
      </w:r>
    </w:p>
    <w:p>
      <w:pPr>
        <w:pStyle w:val="TextBody"/>
        <w:bidi w:val="0"/>
        <w:spacing w:before="0" w:after="0"/>
        <w:ind w:left="432" w:right="0" w:hanging="432"/>
        <w:jc w:val="left"/>
        <w:rPr/>
      </w:pPr>
      <w:bookmarkStart w:id="20" w:name="xdx_90E_edei--PreCommencementTenderOffer"/>
      <w:bookmarkEnd w:id="20"/>
      <w:r>
        <w:rPr>
          <w:caps w:val="false"/>
          <w:smallCaps w:val="false"/>
        </w:rPr>
        <w:t>☐</w:t>
      </w:r>
      <w:r>
        <w:rPr/>
        <w:t xml:space="preserve">        </w:t>
      </w:r>
      <w:r>
        <w:rPr>
          <w:sz w:val="20"/>
        </w:rPr>
        <w:t>Pre-commencement communications pursuant to Rule 14d-2(b) under the Exchange Act (17 CFR 240.14d-2(b))</w:t>
      </w:r>
    </w:p>
    <w:p>
      <w:pPr>
        <w:pStyle w:val="TextBody"/>
        <w:bidi w:val="0"/>
        <w:spacing w:before="0" w:after="0"/>
        <w:ind w:left="432" w:right="0" w:hanging="432"/>
        <w:jc w:val="left"/>
        <w:rPr/>
      </w:pPr>
      <w:bookmarkStart w:id="21" w:name="xdx_904_edei--PreCommencementIssuerTende"/>
      <w:bookmarkEnd w:id="21"/>
      <w:r>
        <w:rPr>
          <w:caps w:val="false"/>
          <w:smallCaps w:val="false"/>
        </w:rPr>
        <w:t>☐</w:t>
      </w:r>
      <w:r>
        <w:rPr/>
        <w:t xml:space="preserve">        </w:t>
      </w:r>
      <w:r>
        <w:rPr>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985" w:type="dxa"/>
        <w:jc w:val="left"/>
        <w:tblInd w:w="0" w:type="dxa"/>
        <w:tblLayout w:type="fixed"/>
        <w:tblCellMar>
          <w:top w:w="40" w:type="dxa"/>
          <w:left w:w="0" w:type="dxa"/>
          <w:bottom w:w="40" w:type="dxa"/>
          <w:right w:w="40" w:type="dxa"/>
        </w:tblCellMar>
      </w:tblPr>
      <w:tblGrid>
        <w:gridCol w:w="2930"/>
        <w:gridCol w:w="860"/>
        <w:gridCol w:w="2195"/>
      </w:tblGrid>
      <w:tr>
        <w:trPr/>
        <w:tc>
          <w:tcPr>
            <w:tcW w:w="2930" w:type="dxa"/>
            <w:tcBorders>
              <w:top w:val="double" w:sz="6"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860" w:type="dxa"/>
            <w:tcBorders>
              <w:top w:val="double" w:sz="6"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Trading </w:t>
              <w:br/>
              <w:t>Symbol(s)</w:t>
            </w:r>
          </w:p>
        </w:tc>
        <w:tc>
          <w:tcPr>
            <w:tcW w:w="2195" w:type="dxa"/>
            <w:tcBorders>
              <w:top w:val="double" w:sz="6" w:space="0" w:color="000000"/>
              <w:bottom w:val="single" w:sz="8" w:space="0" w:color="000000"/>
            </w:tcBorders>
            <w:tcMar>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w:t>
              <w:br/>
              <w:t>on Which Registered</w:t>
            </w:r>
          </w:p>
        </w:tc>
      </w:tr>
      <w:tr>
        <w:trPr/>
        <w:tc>
          <w:tcPr>
            <w:tcW w:w="2930" w:type="dxa"/>
            <w:tcBorders>
              <w:bottom w:val="double" w:sz="6"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bookmarkStart w:id="22" w:name="xdx_904_edei--Security12bTitle_c20251118"/>
            <w:bookmarkEnd w:id="22"/>
            <w:r>
              <w:rPr>
                <w:rFonts w:ascii="Times New Roman;Times;Serif" w:hAnsi="Times New Roman;Times;Serif"/>
                <w:sz w:val="20"/>
              </w:rPr>
              <w:t>Common Shares, Without Par Value</w:t>
            </w:r>
          </w:p>
        </w:tc>
        <w:tc>
          <w:tcPr>
            <w:tcW w:w="860" w:type="dxa"/>
            <w:tcBorders>
              <w:bottom w:val="double" w:sz="6"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23" w:name="xdx_907_edei--TradingSymbol_c20251118__2"/>
            <w:bookmarkEnd w:id="23"/>
            <w:r>
              <w:rPr>
                <w:rFonts w:ascii="Times New Roman;Times;Serif" w:hAnsi="Times New Roman;Times;Serif"/>
                <w:sz w:val="20"/>
              </w:rPr>
              <w:t>ABT</w:t>
            </w:r>
          </w:p>
        </w:tc>
        <w:tc>
          <w:tcPr>
            <w:tcW w:w="2195" w:type="dxa"/>
            <w:tcBorders>
              <w:bottom w:val="double" w:sz="6" w:space="0" w:color="000000"/>
            </w:tcBorders>
            <w:tcMar>
              <w:top w:w="0" w:type="dxa"/>
              <w:right w:w="0" w:type="dxa"/>
            </w:tcMar>
            <w:vAlign w:val="center"/>
          </w:tcPr>
          <w:p>
            <w:pPr>
              <w:pStyle w:val="TableContents"/>
              <w:bidi w:val="0"/>
              <w:spacing w:before="0" w:after="283"/>
              <w:jc w:val="left"/>
              <w:rPr/>
            </w:pPr>
            <w:bookmarkStart w:id="24" w:name="xdx_906_edei--SecurityExchangeName_c2025"/>
            <w:bookmarkEnd w:id="24"/>
            <w:r>
              <w:rPr>
                <w:rFonts w:ascii="Times New Roman;Times;Serif" w:hAnsi="Times New Roman;Times;Serif"/>
                <w:sz w:val="20"/>
              </w:rPr>
              <w:t>New York Stock Exchange</w:t>
              <w:br/>
            </w:r>
            <w:bookmarkStart w:id="25" w:name="xdx_902_edei--SecurityExchangeName_c2025"/>
            <w:bookmarkEnd w:id="25"/>
            <w:r>
              <w:rPr>
                <w:rFonts w:ascii="Times New Roman;Times;Serif" w:hAnsi="Times New Roman;Times;Serif"/>
                <w:sz w:val="20"/>
              </w:rPr>
              <w:t>NYSE</w:t>
            </w:r>
            <w:r>
              <w:rPr/>
              <w:t xml:space="preserve"> Texas</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sz w:val="20"/>
        </w:rPr>
      </w:pPr>
      <w:r>
        <w:rPr>
          <w:rFonts w:ascii="Times New Roman;Times;Serif" w:hAnsi="Times New Roman;Times;Serif"/>
          <w:b w:val="false"/>
          <w:i w:val="false"/>
          <w:caps w:val="false"/>
          <w:smallCaps w:val="false"/>
          <w:sz w:val="20"/>
        </w:rPr>
        <w:t>Emerging growth company  </w:t>
      </w:r>
      <w:bookmarkStart w:id="26" w:name="xdx_90E_edei--EntityEmergingGrowthCompan"/>
      <w:bookmarkEnd w:id="26"/>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965"/>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5.04</w:t>
            </w:r>
          </w:p>
        </w:tc>
        <w:tc>
          <w:tcPr>
            <w:tcW w:w="8030" w:type="dxa"/>
            <w:tcBorders/>
            <w:vAlign w:val="center"/>
          </w:tcPr>
          <w:p>
            <w:pPr>
              <w:pStyle w:val="TableContents"/>
              <w:bidi w:val="0"/>
              <w:spacing w:before="0" w:after="283"/>
              <w:jc w:val="left"/>
              <w:rPr>
                <w:b/>
              </w:rPr>
            </w:pPr>
            <w:r>
              <w:rPr>
                <w:b/>
              </w:rPr>
              <w:t>Temporary Suspension of Trading Under Registrant’s Employee Benefit Plans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2025, Abbott Laboratories (“Abbott”) received a notice from the plan administrator of the Abbott Laboratories Stock Retirement Plan (“U.S. Plan”) and the Abbott Laboratories Stock Retirement Plan (Puerto Rico) (“P.R. Plan”; collectively, the “Plans”) pursuant to Section 101(i)(2)(E) of the Employee Retirement Income Security Act of 1974 regarding a blackout period (the “Blackout Period”) under the Plans. The Blackout Period is required because the Plans are making certain administrative changes, including changing the recordkeeper, changing the trustee for certain funds of the U.S. Plan, and changing the custodian of certain funds of the P.R.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Blackout Period, Plan participants will be unable to engage in transactions involving the assets held in their Plan accounts, including changing contribution rates, directing or diversifying investments (including investments in Abbott common shares), or obtaining a Plan loan, withdrawal, or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more fully in the Notice (as defined below), the Blackout Period is expected to begin on December 24, 2025 at 12 p.m. CST and expected to end during the week of January 11, 2026. During the Blackout Period and for two years after the ending date of the Blackout Period, a security holder or other interested person may obtain, without charge, information regarding the Blackout Period, including the actual beginning and ending dates of the Blackout Period, by submitting a request to Abbott Laboratories, 100 Abbott Park Road, Abbott Park, Illinois 60064, Attn: Divisional Vice President, Compensation and Benefits; (224) 667-6100.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Abbott sent a notice to its directors and executive officers (the “Notice”) informing them of the Blackout Period and the restrictions on trading in Abbott common shares that apply to them during the Blackout Period, pursuant to Section 306 of the Sarbanes-Oxley Act of 2002 and Rule 104 of Regulation BTR. A copy of the Notice is attached as Exhibit 99.1 to this Current Report on Form 8-K and is incorporated by reference.</w:t>
      </w:r>
    </w:p>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1130"/>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u w:val="single"/>
              </w:rPr>
            </w:pPr>
            <w:r>
              <w:rPr>
                <w:u w:val="single"/>
              </w:rPr>
              <w:t>Exhibit No.</w:t>
            </w:r>
          </w:p>
        </w:tc>
        <w:tc>
          <w:tcPr>
            <w:tcW w:w="725" w:type="dxa"/>
            <w:tcBorders/>
            <w:vAlign w:val="center"/>
          </w:tcPr>
          <w:p>
            <w:pPr>
              <w:pStyle w:val="TableContents"/>
              <w:bidi w:val="0"/>
              <w:spacing w:before="0" w:after="283"/>
              <w:jc w:val="both"/>
              <w:rPr>
                <w:u w:val="single"/>
              </w:rPr>
            </w:pPr>
            <w:r>
              <w:rPr>
                <w:u w:val="single"/>
              </w:rPr>
              <w:t>Exhibit</w:t>
            </w:r>
          </w:p>
        </w:tc>
      </w:tr>
    </w:tbl>
    <w:p>
      <w:pPr>
        <w:pStyle w:val="TextBody"/>
        <w:bidi w:val="0"/>
        <w:spacing w:before="0" w:after="0"/>
        <w:ind w:left="0" w:right="0" w:hanging="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44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531676d1_ex99-1.htm">
              <w:r>
                <w:rPr>
                  <w:rStyle w:val="InternetLink"/>
                </w:rPr>
                <w:t>99.1</w:t>
              </w:r>
            </w:hyperlink>
          </w:p>
        </w:tc>
        <w:tc>
          <w:tcPr>
            <w:tcW w:w="9350" w:type="dxa"/>
            <w:tcBorders/>
            <w:vAlign w:val="center"/>
          </w:tcPr>
          <w:p>
            <w:pPr>
              <w:pStyle w:val="TableContents"/>
              <w:bidi w:val="0"/>
              <w:spacing w:before="0" w:after="283"/>
              <w:jc w:val="left"/>
              <w:rPr/>
            </w:pPr>
            <w:hyperlink w:anchor="tm2531676d1_ex99-1.htm">
              <w:r>
                <w:rPr>
                  <w:rStyle w:val="InternetLink"/>
                </w:rPr>
                <w:t>Notice provided to directors and executive officers of Abbott Laboratories on November 21, 2025.</w:t>
              </w:r>
            </w:hyperlink>
          </w:p>
        </w:tc>
      </w:tr>
    </w:tbl>
    <w:p>
      <w:pPr>
        <w:pStyle w:val="TextBody"/>
        <w:bidi w:val="0"/>
        <w:spacing w:before="0" w:after="0"/>
        <w:ind w:left="3600" w:right="0" w:hanging="21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104</w:t>
            </w:r>
          </w:p>
        </w:tc>
        <w:tc>
          <w:tcPr>
            <w:tcW w:w="9787" w:type="dxa"/>
            <w:tcBorders/>
            <w:vAlign w:val="center"/>
          </w:tcPr>
          <w:p>
            <w:pPr>
              <w:pStyle w:val="TableContents"/>
              <w:bidi w:val="0"/>
              <w:spacing w:before="0" w:after="283"/>
              <w:jc w:val="left"/>
              <w:rPr/>
            </w:pPr>
            <w:r>
              <w:rPr/>
              <w:t>Cover Page Interactive Data File (the cover page XBRL tags are embedded 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820" w:type="dxa"/>
        <w:jc w:val="left"/>
        <w:tblInd w:w="0" w:type="dxa"/>
        <w:tblLayout w:type="fixed"/>
        <w:tblCellMar>
          <w:top w:w="0" w:type="dxa"/>
          <w:left w:w="0" w:type="dxa"/>
          <w:bottom w:w="0" w:type="dxa"/>
          <w:right w:w="0" w:type="dxa"/>
        </w:tblCellMar>
      </w:tblPr>
      <w:tblGrid>
        <w:gridCol w:w="2510"/>
        <w:gridCol w:w="365"/>
        <w:gridCol w:w="5945"/>
      </w:tblGrid>
      <w:tr>
        <w:trPr/>
        <w:tc>
          <w:tcPr>
            <w:tcW w:w="2510" w:type="dxa"/>
            <w:tcBorders/>
            <w:vAlign w:val="center"/>
          </w:tcPr>
          <w:p>
            <w:pPr>
              <w:pStyle w:val="TableContents"/>
              <w:bidi w:val="0"/>
              <w:spacing w:before="0" w:after="283"/>
              <w:jc w:val="left"/>
              <w:rPr/>
            </w:pPr>
            <w:r>
              <w:rPr/>
              <w:t> </w:t>
            </w:r>
          </w:p>
        </w:tc>
        <w:tc>
          <w:tcPr>
            <w:tcW w:w="6310" w:type="dxa"/>
            <w:gridSpan w:val="2"/>
            <w:tcBorders/>
            <w:vAlign w:val="center"/>
          </w:tcPr>
          <w:p>
            <w:pPr>
              <w:pStyle w:val="TableContents"/>
              <w:bidi w:val="0"/>
              <w:spacing w:before="0" w:after="283"/>
              <w:jc w:val="left"/>
              <w:rPr>
                <w:b/>
              </w:rPr>
            </w:pPr>
            <w:r>
              <w:rPr>
                <w:b/>
              </w:rPr>
              <w:t>ABBOTT LABORATORIES</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November 21, 2025</w:t>
            </w:r>
          </w:p>
        </w:tc>
        <w:tc>
          <w:tcPr>
            <w:tcW w:w="365" w:type="dxa"/>
            <w:tcBorders/>
            <w:vAlign w:val="center"/>
          </w:tcPr>
          <w:p>
            <w:pPr>
              <w:pStyle w:val="TableContents"/>
              <w:bidi w:val="0"/>
              <w:spacing w:before="0" w:after="283"/>
              <w:jc w:val="left"/>
              <w:rPr/>
            </w:pPr>
            <w:r>
              <w:rPr/>
              <w:t>By:</w:t>
            </w:r>
          </w:p>
        </w:tc>
        <w:tc>
          <w:tcPr>
            <w:tcW w:w="5945" w:type="dxa"/>
            <w:tcBorders>
              <w:bottom w:val="single" w:sz="8" w:space="0" w:color="000000"/>
            </w:tcBorders>
            <w:tcMar>
              <w:bottom w:w="28" w:type="dxa"/>
            </w:tcMar>
            <w:vAlign w:val="center"/>
          </w:tcPr>
          <w:p>
            <w:pPr>
              <w:pStyle w:val="TableContents"/>
              <w:bidi w:val="0"/>
              <w:spacing w:before="0" w:after="283"/>
              <w:jc w:val="left"/>
              <w:rPr/>
            </w:pPr>
            <w:r>
              <w:rPr/>
              <w:t>/s/ Philip P. Boudreau</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Philip P. Boudreau</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Executive Vice President, Finance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bookmarkStart w:id="27" w:name="tm2531676d1_ex99-1.htm"/>
      <w:bookmarkStart w:id="28" w:name="kstm2531676d1_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Blackout Period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 Abbott Laboratories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explains certain restrictions on your investments in securities of Abbott Laboratories (“Abbott”) during an upcoming retirement plan blackout period. As a director or executive officer of Abbott, you are subject to restrictions under Section 306(a) of the Sarbanes-Oxley Act of 2002 (“Sarbanes-Oxley”) and Rule 104 of Regulation BTR under the Securities Exchange Act of 1934 (“Regulation BTR”).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Reason for Blackout Period</w:t>
      </w:r>
      <w:r>
        <w:rPr>
          <w:rFonts w:ascii="Times New Roman;Times;Serif" w:hAnsi="Times New Roman;Times;Serif"/>
          <w:b w:val="false"/>
          <w:i w:val="false"/>
          <w:caps w:val="false"/>
          <w:smallCaps w:val="false"/>
          <w:sz w:val="20"/>
        </w:rPr>
        <w:t>: In January 2026, the Abbott Laboratories Stock Retirement Plan (“U.S. Plan”) and the Abbott Laboratories Stock Retirement Plan (Puerto Rico) (“P.R. Plan”; collectively, the “Plans”) will be changing recordkeepers, the U.S. Plan will be changing trustees for certain of its investment funds, and the P.R. Plan will be changing custodians for certain of its investment funds. During this transition period, which is called a “Blackout Period,” Plan participants will be unable to engage in transactions involving the assets held in their Plan accounts, including changing contribution rates, directing investment of future contributions or diversifying investments (including investments in Abbott common shares), making rollover contributions to the Plans, obtaining a plan loan, requesting a withdrawal or distribution from the Plans, or viewing their Plan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Length of Blackout Period</w:t>
      </w:r>
      <w:r>
        <w:rPr>
          <w:rFonts w:ascii="Times New Roman;Times;Serif" w:hAnsi="Times New Roman;Times;Serif"/>
          <w:b w:val="false"/>
          <w:i w:val="false"/>
          <w:caps w:val="false"/>
          <w:smallCaps w:val="false"/>
          <w:sz w:val="20"/>
        </w:rPr>
        <w:t>: The Blackout Period is expected to begin on December 24, 2025 at 12 p.m. CST and is expected to end during the week of January 11, 2026. You can determine whether the Blackout Period has begun or ended by calling Sean Treacy, Divisional Vice President, Compensation and Benefits, at (224) 667-6100.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Trading Restrictions</w:t>
      </w:r>
      <w:r>
        <w:rPr>
          <w:rFonts w:ascii="Times New Roman;Times;Serif" w:hAnsi="Times New Roman;Times;Serif"/>
          <w:b w:val="false"/>
          <w:i w:val="false"/>
          <w:caps w:val="false"/>
          <w:smallCaps w:val="false"/>
          <w:sz w:val="20"/>
        </w:rPr>
        <w:t>: As you know, you are already precluded during this Blackout Period from trading in Abbott securities under Abbott’s general insider trading policy, which disallows trades during specific periods (in this case, from December 15, 2025, until after the fourth quarter earnings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we are required by Sarbanes-Oxley and Regulation BTR to inform you that, during the Blackout Period, you are generally prohibited from directly or indirectly purchasing, selling, or otherwise transferring any equity security of Abbott. These restrictions apply regardless of whether you participate in either of the Plans. The Blackout Period will apply even if Abbott’s general insider trading policy prohibition on trading is lifted.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concerning the Blackout Period, please contact Mr. Treacy by phone at (224) 667-6100, or you may write to Abbott Laboratories, 100 Abbott Park Road, Abbott Park, Illinois 60064, Attn: Divisional Vice President, Compensation and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1127</Words>
  <Characters>6342</Characters>
  <CharactersWithSpaces>7504</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