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27, 2021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ABBOTT LABORATORIES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Illinois</w:t>
            </w:r>
          </w:p>
        </w:tc>
        <w:tc>
          <w:tcPr>
            <w:tcW w:w="40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1-2189</w:t>
            </w:r>
          </w:p>
        </w:tc>
        <w:tc>
          <w:tcPr>
            <w:tcW w:w="1420" w:type="dxa"/>
            <w:vAlign w:val="bottom"/>
          </w:tcPr>
          <w:p>
            <w:pPr>
              <w:spacing w:after="0"/>
              <w:rPr>
                <w:sz w:val="19"/>
                <w:szCs w:val="19"/>
                <w:color w:val="auto"/>
              </w:rPr>
            </w:pPr>
          </w:p>
        </w:tc>
        <w:tc>
          <w:tcPr>
            <w:tcW w:w="16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36-0698440</w:t>
            </w:r>
          </w:p>
        </w:tc>
      </w:tr>
      <w:tr>
        <w:trPr>
          <w:trHeight w:val="216"/>
        </w:trPr>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200" w:type="dxa"/>
            <w:vAlign w:val="bottom"/>
          </w:tcPr>
          <w:p>
            <w:pPr>
              <w:spacing w:after="0"/>
              <w:rPr>
                <w:sz w:val="18"/>
                <w:szCs w:val="18"/>
                <w:color w:val="auto"/>
              </w:rPr>
            </w:pPr>
          </w:p>
        </w:tc>
        <w:tc>
          <w:tcPr>
            <w:tcW w:w="42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of Incorporation)</w:t>
            </w:r>
          </w:p>
        </w:tc>
        <w:tc>
          <w:tcPr>
            <w:tcW w:w="1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17"/>
        </w:trPr>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100 Abbott Park Road</w:t>
            </w:r>
          </w:p>
        </w:tc>
        <w:tc>
          <w:tcPr>
            <w:tcW w:w="1680" w:type="dxa"/>
            <w:vAlign w:val="bottom"/>
          </w:tcPr>
          <w:p>
            <w:pPr>
              <w:spacing w:after="0"/>
              <w:rPr>
                <w:sz w:val="24"/>
                <w:szCs w:val="24"/>
                <w:color w:val="auto"/>
              </w:rPr>
            </w:pPr>
          </w:p>
        </w:tc>
      </w:tr>
      <w:tr>
        <w:trPr>
          <w:trHeight w:val="220"/>
        </w:trPr>
        <w:tc>
          <w:tcPr>
            <w:tcW w:w="2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Abbott Park, Illinois 60064-6400</w:t>
            </w:r>
          </w:p>
        </w:tc>
        <w:tc>
          <w:tcPr>
            <w:tcW w:w="1680" w:type="dxa"/>
            <w:vAlign w:val="bottom"/>
          </w:tcPr>
          <w:p>
            <w:pPr>
              <w:spacing w:after="0"/>
              <w:rPr>
                <w:sz w:val="19"/>
                <w:szCs w:val="19"/>
                <w:color w:val="auto"/>
              </w:rPr>
            </w:pPr>
          </w:p>
        </w:tc>
      </w:tr>
      <w:tr>
        <w:trPr>
          <w:trHeight w:val="234"/>
        </w:trPr>
        <w:tc>
          <w:tcPr>
            <w:tcW w:w="2060" w:type="dxa"/>
            <w:vAlign w:val="bottom"/>
          </w:tcPr>
          <w:p>
            <w:pPr>
              <w:spacing w:after="0"/>
              <w:rPr>
                <w:sz w:val="20"/>
                <w:szCs w:val="20"/>
                <w:color w:val="auto"/>
              </w:rPr>
            </w:pPr>
          </w:p>
        </w:tc>
        <w:tc>
          <w:tcPr>
            <w:tcW w:w="5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68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5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(224) 667-6100</w:t>
            </w:r>
          </w:p>
        </w:tc>
        <w:tc>
          <w:tcPr>
            <w:tcW w:w="168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93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40" w:hanging="93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40" w:hanging="93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40" w:hanging="93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3580" w:type="dxa"/>
            <w:vAlign w:val="bottom"/>
            <w:tcBorders>
              <w:top w:val="single" w:sz="8" w:color="auto"/>
              <w:bottom w:val="single" w:sz="8" w:color="auto"/>
            </w:tcBorders>
          </w:tcPr>
          <w:p>
            <w:pPr>
              <w:spacing w:after="0"/>
              <w:rPr>
                <w:sz w:val="3"/>
                <w:szCs w:val="3"/>
                <w:color w:val="auto"/>
              </w:rPr>
            </w:pPr>
          </w:p>
        </w:tc>
        <w:tc>
          <w:tcPr>
            <w:tcW w:w="3580" w:type="dxa"/>
            <w:vAlign w:val="bottom"/>
            <w:tcBorders>
              <w:top w:val="single" w:sz="8" w:color="auto"/>
              <w:bottom w:val="single" w:sz="8" w:color="auto"/>
            </w:tcBorders>
          </w:tcPr>
          <w:p>
            <w:pPr>
              <w:spacing w:after="0"/>
              <w:rPr>
                <w:sz w:val="3"/>
                <w:szCs w:val="3"/>
                <w:color w:val="auto"/>
              </w:rPr>
            </w:pPr>
          </w:p>
        </w:tc>
      </w:tr>
      <w:tr>
        <w:trPr>
          <w:trHeight w:val="174"/>
        </w:trPr>
        <w:tc>
          <w:tcPr>
            <w:tcW w:w="40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5"/>
              </w:rPr>
              <w:t>Trading</w:t>
            </w: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191"/>
        </w:trPr>
        <w:tc>
          <w:tcPr>
            <w:tcW w:w="40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Shares, Without Par Value</w:t>
            </w:r>
          </w:p>
        </w:tc>
        <w:tc>
          <w:tcPr>
            <w:tcW w:w="35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ABT</w:t>
            </w:r>
          </w:p>
        </w:tc>
        <w:tc>
          <w:tcPr>
            <w:tcW w:w="35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New York Stock Exchange</w:t>
            </w:r>
          </w:p>
        </w:tc>
      </w:tr>
      <w:tr>
        <w:trPr>
          <w:trHeight w:val="234"/>
        </w:trPr>
        <w:tc>
          <w:tcPr>
            <w:tcW w:w="408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Chicago Stock Exchange, Inc.</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27, 2021, Abbott Laboratories announced its results of operations for the fourth quarter and full year 2020.</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Furnished as Exhibit 99.1, and incorporated herein by reference, is the news release issued by Abbott announcing those results. In that news release, Abbott uses various non-GAAP financial measures including, among others, net earnings from continuing operations excluding specified items. These non-GAAP financial measures adjust for factors that are unusual or unpredictable, such as expenses primarily associated with acquisitions and restructuring actions, charges related to cost reduction initiatives, the acquisition of R&amp;D assets, charges related to impairment of certain assets, income related to certain litigation settlements, and tax benefits associated with specified items, tax benefits associated with the resolution of various tax positions related to prior years and excess tax benefits associated with share-based compensation. These non-GAAP financial measures also exclude intangible amortization expense to provide greater visibility on the results of operations excluding these costs, similar to how Abbott’s management internally assesses performance. Abbott’s management believes the presentation of these non-GAAP financial measures provides useful information to investors regarding Abbott’s results of operations as these non-GAAP financial measures allow investors to better evaluate ongoing business performance. Abbott’s management also uses these non-GAAP financial measures internally to monitor performance of the businesses. Abbott, however, cautions investors to consider these non-GAAP financial measures in addition to, and not as a substitute for, financial measures prepared in accordance with GAAP.</w:t>
      </w:r>
    </w:p>
    <w:p>
      <w:pPr>
        <w:spacing w:after="0" w:line="18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No.</w:t>
            </w:r>
          </w:p>
        </w:tc>
        <w:tc>
          <w:tcPr>
            <w:tcW w:w="91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Exhibit</w:t>
            </w:r>
          </w:p>
        </w:tc>
      </w:tr>
      <w:tr>
        <w:trPr>
          <w:trHeight w:val="20"/>
        </w:trPr>
        <w:tc>
          <w:tcPr>
            <w:tcW w:w="1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53"/>
        </w:trPr>
        <w:tc>
          <w:tcPr>
            <w:tcW w:w="1240" w:type="dxa"/>
            <w:vAlign w:val="bottom"/>
          </w:tcPr>
          <w:p>
            <w:pPr>
              <w:spacing w:after="0"/>
              <w:rPr>
                <w:sz w:val="24"/>
                <w:szCs w:val="24"/>
                <w:color w:val="auto"/>
              </w:rPr>
            </w:pPr>
          </w:p>
        </w:tc>
        <w:tc>
          <w:tcPr>
            <w:tcW w:w="880" w:type="dxa"/>
            <w:vAlign w:val="bottom"/>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9120" w:type="dxa"/>
            <w:vAlign w:val="bottom"/>
            <w:gridSpan w:val="3"/>
          </w:tcPr>
          <w:p>
            <w:pPr>
              <w:ind w:left="8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January 27, 2021 (furnished pursuant to Item 2.02).</w:t>
              </w:r>
            </w:hyperlink>
          </w:p>
        </w:tc>
      </w:tr>
      <w:tr>
        <w:trPr>
          <w:trHeight w:val="432"/>
        </w:trPr>
        <w:tc>
          <w:tcPr>
            <w:tcW w:w="21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104</w:t>
            </w:r>
          </w:p>
        </w:tc>
        <w:tc>
          <w:tcPr>
            <w:tcW w:w="91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tc>
      </w:tr>
      <w:tr>
        <w:trPr>
          <w:trHeight w:val="675"/>
        </w:trPr>
        <w:tc>
          <w:tcPr>
            <w:tcW w:w="1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ABBOTT LABORATORIES</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2021</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Robert E. Funck, Jr.</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E. Funck, Jr.</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2"/>
          <w:szCs w:val="32"/>
          <w:color w:val="009CDE"/>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882650" cy="1011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265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40"/>
        <w:spacing w:after="0" w:line="273" w:lineRule="auto"/>
        <w:rPr>
          <w:sz w:val="20"/>
          <w:szCs w:val="20"/>
          <w:color w:val="auto"/>
        </w:rPr>
      </w:pPr>
      <w:r>
        <w:rPr>
          <w:rFonts w:ascii="Times New Roman" w:cs="Times New Roman" w:eastAsia="Times New Roman" w:hAnsi="Times New Roman"/>
          <w:sz w:val="32"/>
          <w:szCs w:val="32"/>
          <w:color w:val="auto"/>
        </w:rPr>
        <w:t>Abbott Reports Fourth-Quarter 2020 Results; Issues Strong Double-Digit Growth Forecast for 2021</w:t>
      </w:r>
    </w:p>
    <w:p>
      <w:pPr>
        <w:spacing w:after="0" w:line="12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of $10.7 billion, including $2.4 billion of COVID-19 diagnostic testing-related sales</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growth of 28.7 percent; organic sales growth of 28.4 percent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diluted EPS from continuing operations growth of 103.4 percent; adjusted diluted EPS growth of 52.6 percent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Delivered more than 300 million COVID-19 diagnostics tests in fourth quarter 2020</w:t>
      </w:r>
    </w:p>
    <w:p>
      <w:pPr>
        <w:spacing w:after="0" w:line="9" w:lineRule="exact"/>
        <w:rPr>
          <w:rFonts w:ascii="Times New Roman" w:cs="Times New Roman" w:eastAsia="Times New Roman" w:hAnsi="Times New Roman"/>
          <w:sz w:val="18"/>
          <w:szCs w:val="18"/>
          <w:color w:val="auto"/>
        </w:rPr>
      </w:pPr>
    </w:p>
    <w:p>
      <w:pPr>
        <w:ind w:left="340" w:right="36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R&amp;D pipeline continues to be highly productive, delivering ground-breaking innovations and a steady cadence of important new products across all business areas</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Issues 2021 EPS growth forecast of more than 35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ABBOTT PARK, Ill., Jan. 27, 2021 — Abbott today announced financial results for the fourth quarter and full year ended Dec. 31, 2020, and issued its financial outlook for 2021.</w:t>
      </w:r>
    </w:p>
    <w:p>
      <w:pPr>
        <w:ind w:left="340" w:right="38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Fourth-quarter sales of $10.7 billion increased 28.7 percent on a reported basis and 28.4 percent on an organic basis, which excludes the impact of foreign exchange.</w:t>
      </w:r>
    </w:p>
    <w:p>
      <w:pPr>
        <w:ind w:left="340" w:right="380" w:hanging="332"/>
        <w:spacing w:after="0" w:line="22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Fourth-quarter GAAP diluted EPS was $1.20 and adjusted diluted EPS, which excludes specified items, was $1.45, reflecting 52.6 percent growth versus the prior year.</w:t>
      </w:r>
      <w:r>
        <w:rPr>
          <w:rFonts w:ascii="Times New Roman" w:cs="Times New Roman" w:eastAsia="Times New Roman" w:hAnsi="Times New Roman"/>
          <w:sz w:val="23"/>
          <w:szCs w:val="23"/>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340" w:hanging="332"/>
        <w:spacing w:after="0" w:line="21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2020 GAAP diluted EPS from continuing operations was $2.49 and adjusted diluted EPS from continuing operations was $3.65, at the upper-end of guidance range issued in January 2020.</w:t>
      </w:r>
      <w:r>
        <w:rPr>
          <w:rFonts w:ascii="Times New Roman" w:cs="Times New Roman" w:eastAsia="Times New Roman" w:hAnsi="Times New Roman"/>
          <w:sz w:val="23"/>
          <w:szCs w:val="23"/>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340" w:right="20" w:hanging="332"/>
        <w:spacing w:after="0" w:line="21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 issues full-year 2021 guidance for diluted EPS from continuing operations on a GAAP basis of at least $3.74 and full-year adjusted diluted EPS from continuing operations of at least $5.00, reflecting growth of more than 35 percent versus the prior year.</w:t>
      </w:r>
      <w:r>
        <w:rPr>
          <w:rFonts w:ascii="Times New Roman" w:cs="Times New Roman" w:eastAsia="Times New Roman" w:hAnsi="Times New Roman"/>
          <w:sz w:val="23"/>
          <w:szCs w:val="23"/>
          <w:color w:val="auto"/>
          <w:vertAlign w:val="superscript"/>
        </w:rPr>
        <w:t>3</w:t>
      </w:r>
    </w:p>
    <w:p>
      <w:pPr>
        <w:spacing w:after="0" w:line="1" w:lineRule="exact"/>
        <w:rPr>
          <w:rFonts w:ascii="Times New Roman" w:cs="Times New Roman" w:eastAsia="Times New Roman" w:hAnsi="Times New Roman"/>
          <w:sz w:val="18"/>
          <w:szCs w:val="18"/>
          <w:color w:val="auto"/>
        </w:rPr>
      </w:pPr>
    </w:p>
    <w:p>
      <w:pPr>
        <w:ind w:left="340" w:right="480" w:hanging="332"/>
        <w:spacing w:after="0" w:line="21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global COVID-19 testing-related sales were $2.4 billion, led by combined sales of $1.9 billion from Abbott's BinaxNOW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Panbio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ID 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testing platforms.</w:t>
      </w:r>
    </w:p>
    <w:p>
      <w:pPr>
        <w:spacing w:after="0" w:line="1" w:lineRule="exact"/>
        <w:rPr>
          <w:rFonts w:ascii="Times New Roman" w:cs="Times New Roman" w:eastAsia="Times New Roman" w:hAnsi="Times New Roman"/>
          <w:sz w:val="18"/>
          <w:szCs w:val="18"/>
          <w:color w:val="auto"/>
        </w:rPr>
      </w:pPr>
    </w:p>
    <w:p>
      <w:pPr>
        <w:ind w:left="340" w:right="80" w:hanging="332"/>
        <w:spacing w:after="0" w:line="22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pipeline continued to be highly productive in 2020: U.S. approval of FreeStyle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Libre 2 and CE Mark of FreeStyle Libre 3 and Libre Sense Glucose Sport Biosensor; CE Mark of MitraClip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G4,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Tendyne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heart valve devices; U.S. approval of Gallant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cardiac rhythm devices; CE Mark of EnSite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X 3D cardiac mapping system; portfolio expansions in Nutrition and Established Pharmaceuticals.</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"Despite challenging conditions, we achieved double-digit EPS growth, delivered ground-breaking innovation and advanced our new product pipeline in 2020," said Robert B. Ford, president and chief executive officer, Abbott. "We exited the year with a lot of momentum and are forecasting EPS growth of more than 35 percent in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FOURTH-QUARTER BUSINESS OVERVIEW</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i w:val="1"/>
          <w:iCs w:val="1"/>
          <w:color w:val="auto"/>
        </w:rPr>
        <w:t>Note: Management believes that measuring sales growth rates on an organic basis is an appropriate way for investors to best understand the underlying performance of the business. Organic sales growth excludes the impact of foreign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Following are sales by business segment and commentary for the fourth quarter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 vs. 4Q19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Sales 4Q20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Nutrition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Established Pharmaceuticals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1,147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1,147</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432"/>
        </w:trPr>
        <w:tc>
          <w:tcPr>
            <w:tcW w:w="8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Total Q4 2020 Abbott sales from continuing operations include Other Sales of approximately $16 million.</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 vs. 12M19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Sales 12M20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Nutrition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4,774</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10,805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Established Pharmaceuticals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4,303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4,303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4,931</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6,856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8" w:lineRule="exact"/>
        <w:rPr>
          <w:sz w:val="20"/>
          <w:szCs w:val="20"/>
          <w:color w:val="auto"/>
        </w:rPr>
      </w:pPr>
    </w:p>
    <w:p>
      <w:pPr>
        <w:ind w:right="3340" w:firstLine="8"/>
        <w:spacing w:after="0" w:line="500"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12M 2020 Abbott sales from continuing operations include Other Sales of approximately $66 million. n/a = Not Applicable.</w:t>
      </w:r>
    </w:p>
    <w:p>
      <w:pPr>
        <w:spacing w:after="0" w:line="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Note: 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Fourth-quarter 2020 worldwide sales of $10.7 billion increased 28.7 percent on a reported basis and 28.4 percent on an organic basis.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Nutrition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 vs. 4Q19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Sales 4Q20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Pediatric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 vs. 12M19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Sales 12M20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Pediatric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1,292</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8"/>
          <w:szCs w:val="18"/>
          <w:color w:val="auto"/>
        </w:rPr>
        <w:t>Worldwide Nutrition sales increased 3.6 percent on a reported basis and 4.4 percent on an organic basis in the fourth quarter. Strong performance of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Abbott's market-leading complete and balanced nutrition brand, and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Abbott's market-leading diabetes nutrition brand, led to global Adult Nutrition sales growth of 11.5 percent on a reported basis and 12.7 percent on an organic basis. In Pediatric Nutrition, U.S. sales growth of 5.2 percent was led by share growth of Similac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Abbott's infant formula brand, which was offset by challenging conditions in Greater China.</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Diagnostics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 vs. 4Q19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Sales 4Q20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Core Laboratory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Molecular</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308.3</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Point of Care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Rapid Diagnostics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329.0</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 vs. 12M19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Sales 12M20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Core Laboratory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Molecular</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225.7</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Point of Care</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Rapid Diagnostics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2,618</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Worldwide Diagnostics sales increased 111.1 percent on a reported basis in the fourth quarter and increased 108.9 percent on an organic basis. Strong growth in the quarter was driven by demand for Abbott's portfolio of COVID-19 diagnostics tests across its rapid and lab-based platforms. Global COVID-19 testing-related sales were $2.4 billion in the fourth quarter, led by combined sales of $1.9 billion from Abbott's BinaxNOW, Panbio and ID NOW rapid testing platforms.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2020, Abbott mobilized its teams across multiple fronts to develop and launch multiple diagnostic tests for COVID-19:</w:t>
      </w:r>
    </w:p>
    <w:p>
      <w:pPr>
        <w:spacing w:after="0" w:line="2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Emergency Use Authorization (EUA) of BinaxNOW COVID-19 Ag Card test, a portable, lateral flow rapid antigen test to detect COVID-19.</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and World Health Organization emergency use listing of Panbio rapid antigen test to detect COVID-19.</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EUA of molecular test to detect COVID-19 on its ID NOW rapid point-of-care platform.</w:t>
      </w:r>
    </w:p>
    <w:p>
      <w:pPr>
        <w:spacing w:after="0" w:line="9" w:lineRule="exact"/>
        <w:rPr>
          <w:rFonts w:ascii="Times New Roman" w:cs="Times New Roman" w:eastAsia="Times New Roman" w:hAnsi="Times New Roman"/>
          <w:sz w:val="18"/>
          <w:szCs w:val="18"/>
          <w:color w:val="auto"/>
        </w:rPr>
      </w:pPr>
    </w:p>
    <w:p>
      <w:pPr>
        <w:ind w:left="340" w:hanging="332"/>
        <w:spacing w:after="0" w:line="19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EUA and CE Mark of molecular test on its </w:t>
      </w: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8"/>
          <w:szCs w:val="18"/>
          <w:color w:val="auto"/>
        </w:rPr>
        <w:t>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RealTi</w:t>
      </w: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8"/>
          <w:szCs w:val="18"/>
          <w:color w:val="auto"/>
        </w:rPr>
        <w:t>e lab-based platform to detect COVID-19.</w:t>
      </w:r>
    </w:p>
    <w:p>
      <w:pPr>
        <w:ind w:left="340" w:hanging="332"/>
        <w:spacing w:after="0" w:line="19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EUA and CE Mark of molecular test on its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 system to detect COVID-19.</w:t>
      </w:r>
    </w:p>
    <w:p>
      <w:pPr>
        <w:ind w:left="340" w:right="40" w:hanging="332"/>
        <w:spacing w:after="0" w:line="21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EUA and CE Mark of IgG (Immunoglobulin G) lab-based serology blood test on its ARCHITECT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i1000SR and i2000SR laboratory instruments for the detection of an antibody to determine if someone was previously infected with the virus.</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EUA and CE Mark of SARS-CoV-2 IgG lab-based serology blood test on its Alinity i system.</w:t>
      </w:r>
    </w:p>
    <w:p>
      <w:pPr>
        <w:spacing w:after="0" w:line="9" w:lineRule="exact"/>
        <w:rPr>
          <w:rFonts w:ascii="Times New Roman" w:cs="Times New Roman" w:eastAsia="Times New Roman" w:hAnsi="Times New Roman"/>
          <w:sz w:val="18"/>
          <w:szCs w:val="18"/>
          <w:color w:val="auto"/>
        </w:rPr>
      </w:pPr>
    </w:p>
    <w:p>
      <w:pPr>
        <w:ind w:left="340" w:right="48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Lateral flow COVID-19 rapid antibody test on its Panbio system in select countries for the detection of an antibody to determine if someone was previously infected with the virus.</w:t>
      </w:r>
    </w:p>
    <w:p>
      <w:pPr>
        <w:ind w:left="340" w:right="6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EUA and CE Mark of AdviseDx SARS-CoV-2 IgM (Immunoglobulin M) lab-based serology test for use on its ARCHITECT and Alinity platforms.</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IgG (Immunoglobulin G) quantitative lab-based serology test for use on its ARCHITECT and Alinity platforms.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multiplex molecular tests on its Alinity m system to detect COVID-19, Flu A/B and RSV.</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Established Pharmaceuticals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Change vs. 4Q19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Sales 4Q20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Key Emerging Markets</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 Change vs. 12M19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Sales 12M20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Key Emerging Markets</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4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1,094</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Pharmaceuticals sales decreased 2.3 percent on a reported basis in the fourth quarter and increased 3.4 percent on an organic basis.</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Key Emerging Markets include India, Brazil, Russia and China along with several additional emerging countries that represent the most attractive long-term growth opportunities for Abbott's branded generics product portfolio. Sales in these geographies decreased 7.1 percent on a reported basis in the quarter and increased 1.1 percent on an organic basis. Organic sales growth in India, Russia and Brazil was partially offset by market softness across several countries as a result of COVID-19.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sales increased 13.0 percent on a reported basis in the quarter and increased 10.8 percent on an organic basis, led by strong sales of Influvac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Medical Devices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 Change vs. 4Q19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Sales 4Q20</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420" w:type="dxa"/>
            <w:vAlign w:val="bottom"/>
          </w:tcPr>
          <w:p>
            <w:pPr>
              <w:spacing w:after="0"/>
              <w:rPr>
                <w:sz w:val="19"/>
                <w:szCs w:val="19"/>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3"/>
              </w:rPr>
              <w:t>1,369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Rhythm Management</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Electrophysiology</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Heart Failure</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Vascular</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225</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Structural Heart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154</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Neuromodulation</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172</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Diabetes Care</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250</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2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Vascular Product Lines: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Coronary and Endovascular</w:t>
            </w:r>
            <w:r>
              <w:rPr>
                <w:rFonts w:ascii="Times New Roman" w:cs="Times New Roman" w:eastAsia="Times New Roman" w:hAnsi="Times New Roman"/>
                <w:sz w:val="23"/>
                <w:szCs w:val="23"/>
                <w:color w:val="auto"/>
                <w:vertAlign w:val="superscript"/>
              </w:rPr>
              <w:t>a)</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210</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25" w:lineRule="exact"/>
        <w:rPr>
          <w:sz w:val="20"/>
          <w:szCs w:val="20"/>
          <w:color w:val="auto"/>
        </w:rPr>
      </w:pPr>
    </w:p>
    <w:p>
      <w:pPr>
        <w:ind w:left="600" w:hanging="333"/>
        <w:spacing w:after="0" w:line="229" w:lineRule="auto"/>
        <w:tabs>
          <w:tab w:leader="none" w:pos="6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drug-eluting stents, balloon catheters, guidewires, vascular imaging/diagnostics products, vessel closure, carotid and other coronary and peripheral products.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 Change vs. 12M19</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Sales 12M20</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42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Int'l</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3"/>
              </w:rPr>
              <w:t>4,931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Rhythm Management</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903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Electrophysiology</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660</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Heart Failure</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547</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Vascular</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853</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Structural Heart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540</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Neuromodulation</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564</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Diabetes Care</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864</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2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Vascular Product Lines: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Coronary and Endovascular</w:t>
            </w:r>
            <w:r>
              <w:rPr>
                <w:rFonts w:ascii="Times New Roman" w:cs="Times New Roman" w:eastAsia="Times New Roman" w:hAnsi="Times New Roman"/>
                <w:sz w:val="23"/>
                <w:szCs w:val="23"/>
                <w:color w:val="auto"/>
                <w:vertAlign w:val="superscript"/>
              </w:rPr>
              <w:t>a)</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785</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(17.4)</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25" w:lineRule="exact"/>
        <w:rPr>
          <w:sz w:val="20"/>
          <w:szCs w:val="20"/>
          <w:color w:val="auto"/>
        </w:rPr>
      </w:pPr>
    </w:p>
    <w:p>
      <w:pPr>
        <w:ind w:left="600" w:hanging="333"/>
        <w:spacing w:after="0" w:line="229" w:lineRule="auto"/>
        <w:tabs>
          <w:tab w:leader="none" w:pos="6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drug-eluting stents, balloon catheters, guidewires, vascular imaging/diagnostics products, vessel closure, carotid and other coronary and peripheral products.</w:t>
      </w:r>
    </w:p>
    <w:p>
      <w:pPr>
        <w:spacing w:after="0" w:line="198"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7"/>
          <w:szCs w:val="17"/>
          <w:color w:val="auto"/>
        </w:rPr>
        <w:t>Worldwide Medical Devices sales increased 1.7 percent on a reported basis in the fourth quarter and decreased 0.4 percent on an organic basis. Strong growth in Diabetes Care, led by FreeStyle Libre, was offset by reduced cardiovascular and neuromodulation procedure volumes due to the COVID-19 pandemic and lower Vascular sales in China, as a result of a new national tender program in that country. Excluding Vascular sales in China, global Vascular sales decreased 10.4 percent on an organic basis, and Medical Devices sales increased 1.4 percent on an organic basis in the fourth quarter.</w:t>
      </w:r>
    </w:p>
    <w:p>
      <w:pPr>
        <w:spacing w:after="0" w:line="16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Diabetes Care, strong growth in the quarter was led by FreeStyle Libre, which grew 41.3 percent on a reported basis and 37.1 percent on an organic basis. For the full year, FreeStyle Libre grew 43.1 percent on a reported basis and 42.6 percent on an organic basis.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Abbott continues to strengthen its Medical Devices portfolio, with several key product approvals in 2020, including:</w:t>
      </w:r>
    </w:p>
    <w:p>
      <w:pPr>
        <w:spacing w:after="0" w:line="27" w:lineRule="exact"/>
        <w:rPr>
          <w:sz w:val="20"/>
          <w:szCs w:val="20"/>
          <w:color w:val="auto"/>
        </w:rPr>
      </w:pPr>
    </w:p>
    <w:p>
      <w:pPr>
        <w:ind w:left="340" w:right="20" w:hanging="332"/>
        <w:spacing w:after="0" w:line="22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clearance of FreeStyle Libre 2 as an integrated continuous glucose monitoring (iCGM) system for adults and children ages 4 and older with diabetes, achieving the highest level of accuracy and performance standards.</w:t>
      </w:r>
      <w:r>
        <w:rPr>
          <w:rFonts w:ascii="Times New Roman" w:cs="Times New Roman" w:eastAsia="Times New Roman" w:hAnsi="Times New Roman"/>
          <w:sz w:val="23"/>
          <w:szCs w:val="23"/>
          <w:color w:val="auto"/>
          <w:vertAlign w:val="superscript"/>
        </w:rPr>
        <w:t>4</w:t>
      </w:r>
    </w:p>
    <w:p>
      <w:pPr>
        <w:spacing w:after="0" w:line="1" w:lineRule="exact"/>
        <w:rPr>
          <w:rFonts w:ascii="Times New Roman" w:cs="Times New Roman" w:eastAsia="Times New Roman" w:hAnsi="Times New Roman"/>
          <w:sz w:val="18"/>
          <w:szCs w:val="18"/>
          <w:color w:val="auto"/>
        </w:rPr>
      </w:pPr>
    </w:p>
    <w:p>
      <w:pPr>
        <w:ind w:left="340" w:right="160" w:hanging="332"/>
        <w:spacing w:after="0" w:line="19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FreeStyle Libre 3, which automatically delivers up-to-the-minute glucose readings, unsurpassed 14-day accuracy</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and real-time glucose alarms in the world's smallest and thinnest</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wearable glucose sensor.</w:t>
      </w:r>
    </w:p>
    <w:p>
      <w:pPr>
        <w:ind w:left="340" w:hanging="332"/>
        <w:spacing w:after="0" w:line="249"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Libre Sense Glucose Sport Biosensor, a small wearable sensor that helps athletes better understand the efficacy of their nutritional choices on training and athletic performance.</w:t>
      </w:r>
    </w:p>
    <w:p>
      <w:pPr>
        <w:ind w:left="340" w:righ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MitraClip G4, Abbott's next-generation MitraClip heart system, the leading minimally invasive mitral heart valve repair device in the world.</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TriClip, the world's first minimally invasive, clip-based device for repair of a leaky tricuspid heart valve.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Tendyne, a first-of-its-kind technology to replace a faulty mitral heart valve.</w:t>
      </w:r>
    </w:p>
    <w:p>
      <w:pPr>
        <w:spacing w:after="0" w:line="9"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approval of Gallant implantable cardioverter defibrillator (ICD) and cardiac resynchronization therapy defibrillator (CRT-D) devices, which include Bluetooth technology and a new patient smartphone app for improved remote monitoring and enhanced patient-physician engagement to help manage heart rhythm disorders.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of EnSite X EP System, a next-generation 3D cardiac mapping platform used for ablation therapy to treat abnormal heart rhythms.</w:t>
      </w:r>
    </w:p>
    <w:p>
      <w:pPr>
        <w:spacing w:after="0" w:line="9" w:lineRule="exact"/>
        <w:rPr>
          <w:rFonts w:ascii="Times New Roman" w:cs="Times New Roman" w:eastAsia="Times New Roman" w:hAnsi="Times New Roman"/>
          <w:sz w:val="18"/>
          <w:szCs w:val="18"/>
          <w:color w:val="auto"/>
        </w:rPr>
      </w:pPr>
    </w:p>
    <w:p>
      <w:pPr>
        <w:ind w:left="340" w:right="20" w:hanging="332"/>
        <w:spacing w:after="0" w:line="219"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clearance and CE Mark of the IonicRF</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Generator, a non-surgical, minimally invasive device that uses heat to target specific nerves for the management of chronic pain.</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ABBOTT ISSUES GUIDANCE FOR 2021</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Abbott projects full-year 2021 diluted earnings per share from continuing operations under GAAP of at least $3.74. Abbott forecasts specified items for the full-year 2021 of $1.26 primarily related to intangible amortization, expenses associated with acquisitions, restructuring and cost reduction initiatives and other net expenses. Excluding specified items, projected adjusted diluted earnings per share from continuing operations would be at least $5.00 for full-year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ABBOTT DECLARES 388</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CONSECUTIVE QUARTERLY DIVIDEND</w:t>
      </w:r>
    </w:p>
    <w:p>
      <w:pPr>
        <w:ind w:right="240"/>
        <w:spacing w:after="0" w:line="258" w:lineRule="auto"/>
        <w:rPr>
          <w:sz w:val="20"/>
          <w:szCs w:val="20"/>
          <w:color w:val="auto"/>
        </w:rPr>
      </w:pPr>
      <w:r>
        <w:rPr>
          <w:rFonts w:ascii="Times New Roman" w:cs="Times New Roman" w:eastAsia="Times New Roman" w:hAnsi="Times New Roman"/>
          <w:sz w:val="18"/>
          <w:szCs w:val="18"/>
          <w:color w:val="auto"/>
        </w:rPr>
        <w:t>On Dec. 11, 2020, the board of directors of Abbott increased the company's quarterly dividend to $0.45 per share from $0.36 per share, an increase of 25 percent. Abbott's cash dividend is payable Feb. 16, 2021, to shareholders of record at the close of business on Jan. 15, 2021.</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Abbott has increased its dividend payout for 49 consecutive years and is a member of the S&amp;P 500 Dividend Aristocrats Index, which tracks companies that have annually increased their dividend for at least 25 consecutive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Abbott:</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Abbott is a global healthcare leader that helps people live more fully at all stages of life. Our portfolio of life-changing technologies spans the spectrum of healthcare, with leading businesses and products in diagnostics, medical devices, nutritionals and branded generic medicines. Our 109,000 colleagues serve people in more than 160 countries.</w:t>
      </w:r>
    </w:p>
    <w:p>
      <w:pPr>
        <w:spacing w:after="0" w:line="18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Connect with us at www.abbott.com, on LinkedIn at www.linkedin.com/company/abbott-/, on Facebook at www.facebook.com/Abbott and on Twitter @AbbottNews.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Abbott will live webcast its fourth-quarter earnings conference call through its Investor Relations website at www.abbottinvestor.com at 8 a.m. Central time today. An archived edition of the webcast will be available later that day.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3540"/>
        <w:spacing w:after="0"/>
        <w:rPr>
          <w:sz w:val="20"/>
          <w:szCs w:val="20"/>
          <w:color w:val="auto"/>
        </w:rPr>
      </w:pPr>
      <w:r>
        <w:rPr>
          <w:rFonts w:ascii="Times New Roman" w:cs="Times New Roman" w:eastAsia="Times New Roman" w:hAnsi="Times New Roman"/>
          <w:sz w:val="18"/>
          <w:szCs w:val="18"/>
          <w:b w:val="1"/>
          <w:bCs w:val="1"/>
          <w:color w:val="auto"/>
        </w:rPr>
        <w:t>— Private Securities Litigation Reform Act of 1995 —</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 Caution Concerning Forward-Looking Statements</w:t>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Some statements in this news release may be forward-looking statements for purposes of the Private Securities Litigation Reform Act of 1995. Abbott cautions that these forward-looking statements are subject to risks and uncertainties, including the impact of the COVID-19 pandemic on Abbott's operations and financial results, that may cause actual results to differ materially from those indicated in the forward-looking statements. Economic, competitive, governmental, technological and other factors that may affect Abbott's operations are discussed in Item 1A, "Risk Factors" in our Annual Report on Form 10-K for the year ended Dec. 31, 2019 and in Item 1A, "Risk Factors" in our Quarterly Report on Form 10-Q for the quarter ended March 31, 2020, and are incorporated herein by reference. Abbott undertakes no obligation to release publicly any revisions to forward-looking statements as a result of subsequent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Abbott Financial: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Leinenweber, 224-668-0791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Comilla, 224-668-1872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Dauer, 224-667-2299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Abbott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Ross, 224-667-3655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Dyer, 224-668-9965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3</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4</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Fourth-quarter 2020 diluted EPS from continuing operations on a GAAP basis reflects 103.4 percent growth.</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Full year 2020 diluted EPS from continuing operations on a GAAP basis exceeded the guidance range Abbott issued in January 2020 of $2.35 to $2.45.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 year 2021 guidance for diluted EPS from continuing operations on a GAAP basis reflects growth of at least 50 percent versus the prior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FDA iCGM special controls.</w:t>
      </w:r>
    </w:p>
    <w:p>
      <w:pPr>
        <w:spacing w:after="0" w:line="9"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18"/>
          <w:szCs w:val="18"/>
          <w:color w:val="auto"/>
        </w:rPr>
        <w:t>Alva Shridhara, Timothy Bailey, Ronald Brazg, Erwin S. Budiman, Kristin Castorino, Mark P. Christiansen, Gregory Forlenza, Mark Kipnes, David R. Liljenquist, and Hanqing Liu. "Accuracy of a 14-Day Factory-Calibrated Continuous Glucose Monitoring System With Advanced Algorithm in Pediatric and Adult Population With Diabetes." Journal of Diabetes Science and Technology, (September 2020). https://doi.org/10.1177/1932296820958754.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patient-applied sensors. Data on File, Abbott Diabetes Care.</w:t>
      </w:r>
    </w:p>
    <w:p>
      <w:pPr>
        <w:spacing w:after="0" w:line="200" w:lineRule="exact"/>
        <w:rPr>
          <w:sz w:val="20"/>
          <w:szCs w:val="20"/>
          <w:color w:val="auto"/>
        </w:rPr>
      </w:pPr>
    </w:p>
    <w:p>
      <w:pPr>
        <w:sectPr>
          <w:pgSz w:w="11900" w:h="16838" w:orient="portrait"/>
          <w:cols w:equalWidth="0" w:num="2">
            <w:col w:w="400" w:space="260"/>
            <w:col w:w="10520"/>
          </w:cols>
          <w:pgMar w:left="320" w:top="900" w:right="399" w:bottom="1440" w:gutter="0" w:footer="0" w:header="0"/>
          <w:type w:val="continuous"/>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Quarter Ended December 31,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4Q20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4Q19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10,701</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 excluding amortization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30.8</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17.5</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160" w:type="dxa"/>
            <w:vAlign w:val="bottom"/>
          </w:tcPr>
          <w:p>
            <w:pPr>
              <w:spacing w:after="0"/>
              <w:rPr>
                <w:sz w:val="18"/>
                <w:szCs w:val="18"/>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19.4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75.0</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49.6</w:t>
            </w:r>
          </w:p>
        </w:tc>
        <w:tc>
          <w:tcPr>
            <w:tcW w:w="160" w:type="dxa"/>
            <w:vAlign w:val="bottom"/>
          </w:tcPr>
          <w:p>
            <w:pPr>
              <w:spacing w:after="0"/>
              <w:rPr>
                <w:sz w:val="18"/>
                <w:szCs w:val="18"/>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92.4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1)</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taxes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60" w:type="dxa"/>
            <w:vAlign w:val="bottom"/>
          </w:tcPr>
          <w:p>
            <w:pPr>
              <w:spacing w:after="0"/>
              <w:rPr>
                <w:sz w:val="18"/>
                <w:szCs w:val="18"/>
                <w:color w:val="auto"/>
              </w:rPr>
            </w:pPr>
          </w:p>
        </w:tc>
      </w:tr>
      <w:tr>
        <w:trPr>
          <w:trHeight w:val="209"/>
        </w:trPr>
        <w:tc>
          <w:tcPr>
            <w:tcW w:w="6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Pr>
          <w:p>
            <w:pPr>
              <w:spacing w:after="0"/>
              <w:rPr>
                <w:sz w:val="22"/>
                <w:szCs w:val="22"/>
                <w:color w:val="auto"/>
              </w:rPr>
            </w:pPr>
          </w:p>
        </w:tc>
      </w:tr>
      <w:tr>
        <w:trPr>
          <w:trHeight w:val="196"/>
        </w:trPr>
        <w:tc>
          <w:tcPr>
            <w:tcW w:w="6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 excluding</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Specified Items, as described below</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 from:</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60" w:type="dxa"/>
            <w:vAlign w:val="bottom"/>
            <w:shd w:val="clear" w:color="auto" w:fill="CCEEFF"/>
          </w:tcPr>
          <w:p>
            <w:pPr>
              <w:spacing w:after="0"/>
              <w:rPr>
                <w:sz w:val="18"/>
                <w:szCs w:val="18"/>
                <w:color w:val="auto"/>
              </w:rPr>
            </w:pPr>
          </w:p>
        </w:tc>
      </w:tr>
      <w:tr>
        <w:trPr>
          <w:trHeight w:val="250"/>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Borders>
              <w:bottom w:val="single" w:sz="8" w:color="CCEEFF"/>
            </w:tcBorders>
          </w:tcPr>
          <w:p>
            <w:pPr>
              <w:spacing w:after="0"/>
              <w:rPr>
                <w:sz w:val="21"/>
                <w:szCs w:val="21"/>
                <w:color w:val="auto"/>
              </w:rPr>
            </w:pPr>
          </w:p>
        </w:tc>
      </w:tr>
      <w:tr>
        <w:trPr>
          <w:trHeight w:val="196"/>
        </w:trPr>
        <w:tc>
          <w:tcPr>
            <w:tcW w:w="6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 from Continuing</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excluding Specified Items, as described below</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Number of Common Shares Outstanding</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Plus Dilutive Common Stock Options</w:t>
            </w: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tables on page 14 for an explanation of certain non-GAAP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 change is not meaningful.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the following page.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 w:name="page14"/>
    <w:bookmarkEnd w:id="13"/>
    <w:p>
      <w:pPr>
        <w:ind w:left="332" w:right="220" w:hanging="332"/>
        <w:spacing w:after="0" w:line="266"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t>2020 Tax expense on Earnings from Continuing Operations includes the recognition of approximately $135 million of tax benefits related to the impairment of certain assets, approximately $25 million of net tax benefits as a result of the resolution of various tax positions related to prior years and approximately $10 million in excess tax benefits associated with share-based compensation.</w:t>
      </w:r>
    </w:p>
    <w:p>
      <w:pPr>
        <w:spacing w:after="0" w:line="175" w:lineRule="exact"/>
        <w:rPr>
          <w:rFonts w:ascii="Times New Roman" w:cs="Times New Roman" w:eastAsia="Times New Roman" w:hAnsi="Times New Roman"/>
          <w:sz w:val="18"/>
          <w:szCs w:val="18"/>
          <w:color w:val="auto"/>
        </w:rPr>
      </w:pPr>
    </w:p>
    <w:p>
      <w:pPr>
        <w:ind w:left="332" w:hanging="332"/>
        <w:spacing w:after="0" w:line="266"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Net Earnings and Diluted Earnings per Common Share from Continuing Operations, excluding Specified Items, excludes net after-tax charges of $454 million, or $0.25 per share, for intangible amortization and impairment expenses and other net expenses primarily associated with acquisitions and restructuring actions.</w:t>
      </w:r>
    </w:p>
    <w:p>
      <w:pPr>
        <w:spacing w:after="0" w:line="175" w:lineRule="exact"/>
        <w:rPr>
          <w:rFonts w:ascii="Times New Roman" w:cs="Times New Roman" w:eastAsia="Times New Roman" w:hAnsi="Times New Roman"/>
          <w:sz w:val="18"/>
          <w:szCs w:val="18"/>
          <w:color w:val="auto"/>
        </w:rPr>
      </w:pPr>
    </w:p>
    <w:p>
      <w:pPr>
        <w:ind w:left="3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Net Earnings and Diluted Earnings per Common Share from Continuing Operations, excluding Specified Items, excludes net after-tax charges of $656 million, or $0.36 per share, for intangible amortization expense and other expenses primarily associated with acquisitions and restructuring actions.</w:t>
      </w:r>
    </w:p>
    <w:p>
      <w:pPr>
        <w:spacing w:after="0" w:line="38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931" w:right="399" w:bottom="1440" w:gutter="0" w:footer="0" w:header="0"/>
        </w:sectPr>
      </w:pPr>
    </w:p>
    <w:bookmarkStart w:id="14" w:name="page15"/>
    <w:bookmarkEnd w:id="14"/>
    <w:p>
      <w:pPr>
        <w:jc w:val="center"/>
        <w:ind w:left="160"/>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Condensed Consolidated Statement of Earnings</w:t>
      </w:r>
    </w:p>
    <w:p>
      <w:pPr>
        <w:spacing w:after="0" w:line="9"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Year Ended December 31, 2020 and 2019</w:t>
      </w:r>
    </w:p>
    <w:p>
      <w:pPr>
        <w:spacing w:after="0" w:line="9"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12M20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12M19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8"/>
        </w:trPr>
        <w:tc>
          <w:tcPr>
            <w:tcW w:w="65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34,608</w:t>
            </w:r>
          </w:p>
        </w:tc>
        <w:tc>
          <w:tcPr>
            <w:tcW w:w="2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220" w:type="dxa"/>
            <w:vAlign w:val="bottom"/>
            <w:gridSpan w:val="2"/>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0" w:type="dxa"/>
            <w:vAlign w:val="bottom"/>
          </w:tcPr>
          <w:p>
            <w:pPr>
              <w:spacing w:after="0"/>
              <w:rPr>
                <w:sz w:val="1"/>
                <w:szCs w:val="1"/>
                <w:color w:val="auto"/>
              </w:rPr>
            </w:pPr>
          </w:p>
        </w:tc>
      </w:tr>
      <w:tr>
        <w:trPr>
          <w:trHeight w:val="39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 excluding amortization expense</w:t>
            </w:r>
          </w:p>
        </w:tc>
        <w:tc>
          <w:tcPr>
            <w:tcW w:w="10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15,003</w:t>
            </w:r>
          </w:p>
        </w:tc>
        <w:tc>
          <w:tcPr>
            <w:tcW w:w="120" w:type="dxa"/>
            <w:vAlign w:val="bottom"/>
          </w:tcPr>
          <w:p>
            <w:pPr>
              <w:spacing w:after="0"/>
              <w:rPr>
                <w:sz w:val="24"/>
                <w:szCs w:val="24"/>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13,231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13.4</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22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2,440</w:t>
            </w: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9,696</w:t>
            </w:r>
          </w:p>
        </w:tc>
        <w:tc>
          <w:tcPr>
            <w:tcW w:w="1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9,765</w:t>
            </w:r>
          </w:p>
        </w:tc>
        <w:tc>
          <w:tcPr>
            <w:tcW w:w="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27,372</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0" w:type="dxa"/>
            <w:vAlign w:val="bottom"/>
          </w:tcPr>
          <w:p>
            <w:pPr>
              <w:spacing w:after="0"/>
              <w:rPr>
                <w:sz w:val="1"/>
                <w:szCs w:val="1"/>
                <w:color w:val="auto"/>
              </w:rPr>
            </w:pPr>
          </w:p>
        </w:tc>
      </w:tr>
      <w:tr>
        <w:trPr>
          <w:trHeight w:val="42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10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5,357</w:t>
            </w:r>
          </w:p>
        </w:tc>
        <w:tc>
          <w:tcPr>
            <w:tcW w:w="1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4,532</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18.2</w:t>
            </w:r>
          </w:p>
        </w:tc>
        <w:tc>
          <w:tcPr>
            <w:tcW w:w="0" w:type="dxa"/>
            <w:vAlign w:val="bottom"/>
          </w:tcPr>
          <w:p>
            <w:pPr>
              <w:spacing w:after="0"/>
              <w:rPr>
                <w:sz w:val="1"/>
                <w:szCs w:val="1"/>
                <w:color w:val="auto"/>
              </w:rPr>
            </w:pPr>
          </w:p>
        </w:tc>
      </w:tr>
      <w:tr>
        <w:trPr>
          <w:trHeight w:val="41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4"/>
                <w:szCs w:val="24"/>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1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(46.5)</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4,077</w:t>
            </w: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21.8</w:t>
            </w:r>
          </w:p>
        </w:tc>
        <w:tc>
          <w:tcPr>
            <w:tcW w:w="0" w:type="dxa"/>
            <w:vAlign w:val="bottom"/>
          </w:tcPr>
          <w:p>
            <w:pPr>
              <w:spacing w:after="0"/>
              <w:rPr>
                <w:sz w:val="1"/>
                <w:szCs w:val="1"/>
                <w:color w:val="auto"/>
              </w:rPr>
            </w:pPr>
          </w:p>
        </w:tc>
      </w:tr>
      <w:tr>
        <w:trPr>
          <w:trHeight w:val="441"/>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w:t>
            </w:r>
          </w:p>
        </w:tc>
        <w:tc>
          <w:tcPr>
            <w:tcW w:w="10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24"/>
                <w:szCs w:val="24"/>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27.3</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3,687</w:t>
            </w:r>
          </w:p>
        </w:tc>
        <w:tc>
          <w:tcPr>
            <w:tcW w:w="2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21.2</w:t>
            </w:r>
          </w:p>
        </w:tc>
        <w:tc>
          <w:tcPr>
            <w:tcW w:w="0" w:type="dxa"/>
            <w:vAlign w:val="bottom"/>
          </w:tcPr>
          <w:p>
            <w:pPr>
              <w:spacing w:after="0"/>
              <w:rPr>
                <w:sz w:val="1"/>
                <w:szCs w:val="1"/>
                <w:color w:val="auto"/>
              </w:rPr>
            </w:pPr>
          </w:p>
        </w:tc>
      </w:tr>
      <w:tr>
        <w:trPr>
          <w:trHeight w:val="42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taxes</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45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3,687</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-2887980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-2614295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pacing w:after="0" w:line="1285" w:lineRule="exact"/>
        <w:rPr>
          <w:sz w:val="20"/>
          <w:szCs w:val="20"/>
          <w:color w:val="auto"/>
        </w:rPr>
      </w:pPr>
    </w:p>
    <w:p>
      <w:pPr>
        <w:sectPr>
          <w:pgSz w:w="11900" w:h="16838" w:orient="portrait"/>
          <w:cols w:equalWidth="0" w:num="2">
            <w:col w:w="11080" w:space="20"/>
            <w:col w:w="14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 excluding</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Specified Items, as described below</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6,552</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5,810</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r>
        <w:trPr>
          <w:trHeight w:val="196"/>
        </w:trPr>
        <w:tc>
          <w:tcPr>
            <w:tcW w:w="6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 from:</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2.06</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20.9</w:t>
            </w:r>
          </w:p>
        </w:tc>
        <w:tc>
          <w:tcPr>
            <w:tcW w:w="440" w:type="dxa"/>
            <w:vAlign w:val="bottom"/>
          </w:tcPr>
          <w:p>
            <w:pPr>
              <w:spacing w:after="0"/>
              <w:rPr>
                <w:sz w:val="18"/>
                <w:szCs w:val="18"/>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440" w:type="dxa"/>
            <w:vAlign w:val="bottom"/>
            <w:shd w:val="clear" w:color="auto" w:fill="CCEEFF"/>
          </w:tcPr>
          <w:p>
            <w:pPr>
              <w:spacing w:after="0"/>
              <w:rPr>
                <w:sz w:val="19"/>
                <w:szCs w:val="19"/>
                <w:color w:val="auto"/>
              </w:rPr>
            </w:pPr>
          </w:p>
        </w:tc>
      </w:tr>
      <w:tr>
        <w:trPr>
          <w:trHeight w:val="263"/>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21.4</w:t>
            </w:r>
          </w:p>
        </w:tc>
        <w:tc>
          <w:tcPr>
            <w:tcW w:w="440" w:type="dxa"/>
            <w:vAlign w:val="bottom"/>
            <w:tcBorders>
              <w:bottom w:val="single" w:sz="8" w:color="CCEEFF"/>
            </w:tcBorders>
          </w:tcPr>
          <w:p>
            <w:pPr>
              <w:spacing w:after="0"/>
              <w:rPr>
                <w:sz w:val="22"/>
                <w:szCs w:val="22"/>
                <w:color w:val="auto"/>
              </w:rPr>
            </w:pPr>
          </w:p>
        </w:tc>
      </w:tr>
      <w:tr>
        <w:trPr>
          <w:trHeight w:val="197"/>
        </w:trPr>
        <w:tc>
          <w:tcPr>
            <w:tcW w:w="6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 from Continuing</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excluding Specified Items, as described below</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3.24</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Number of Common Shares Outstanding</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Plus Dilutive Common Stock Options</w:t>
            </w:r>
          </w:p>
        </w:tc>
        <w:tc>
          <w:tcPr>
            <w:tcW w:w="5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1,781</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tables on page 15 for an explanation of certain non-GAAP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 change is not meaningful.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the following page.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5" w:name="page16"/>
    <w:bookmarkEnd w:id="15"/>
    <w:p>
      <w:pPr>
        <w:ind w:left="332" w:right="280" w:hanging="332"/>
        <w:spacing w:after="0" w:line="282"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t>In 2019, in conjunction with the acquisition of Cephea Valve Technologies, Inc., Abbott acquired an R&amp;D asset valued at $102 million, which was immediately expensed.</w:t>
      </w:r>
    </w:p>
    <w:p>
      <w:pPr>
        <w:spacing w:after="0" w:line="161" w:lineRule="exact"/>
        <w:rPr>
          <w:rFonts w:ascii="Times New Roman" w:cs="Times New Roman" w:eastAsia="Times New Roman" w:hAnsi="Times New Roman"/>
          <w:sz w:val="18"/>
          <w:szCs w:val="18"/>
          <w:color w:val="auto"/>
        </w:rPr>
      </w:pPr>
    </w:p>
    <w:p>
      <w:pPr>
        <w:ind w:left="332" w:right="120" w:hanging="332"/>
        <w:spacing w:after="0" w:line="266"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Tax expense on Earnings from Continuing Operations includes the recognition of approximately $170 million of tax benefits related to the impairment of certain assets, approximately $140 million of net tax benefits as a result of the resolution of various tax positions related to prior years and approximately $100 million in excess tax benefits associated with share-based compensation.</w:t>
      </w:r>
    </w:p>
    <w:p>
      <w:pPr>
        <w:spacing w:after="0" w:line="175" w:lineRule="exact"/>
        <w:rPr>
          <w:rFonts w:ascii="Times New Roman" w:cs="Times New Roman" w:eastAsia="Times New Roman" w:hAnsi="Times New Roman"/>
          <w:sz w:val="18"/>
          <w:szCs w:val="18"/>
          <w:color w:val="auto"/>
        </w:rPr>
      </w:pPr>
    </w:p>
    <w:p>
      <w:pPr>
        <w:ind w:left="332"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Tax expense on Earnings from Continuing Operations includes the impact of a $86 million reduction of the transition tax associated with the Tax Cuts and Jobs Act (TCJA) and approximately $100 million in excess tax benefits associated with share-based compensation.</w:t>
      </w:r>
    </w:p>
    <w:p>
      <w:pPr>
        <w:spacing w:after="0" w:line="161" w:lineRule="exact"/>
        <w:rPr>
          <w:rFonts w:ascii="Times New Roman" w:cs="Times New Roman" w:eastAsia="Times New Roman" w:hAnsi="Times New Roman"/>
          <w:sz w:val="18"/>
          <w:szCs w:val="18"/>
          <w:color w:val="auto"/>
        </w:rPr>
      </w:pPr>
    </w:p>
    <w:p>
      <w:pPr>
        <w:ind w:left="332" w:hanging="332"/>
        <w:spacing w:after="0" w:line="266"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Net Earnings and Diluted Earnings per Common Share from Continuing Operations, excluding Specified Items, excludes net after-tax charges of $2.081 billion, or $1.16 per share, for intangible amortization expense, impairment charges and other net expense primarily associated with acquisitions, restructuring actions and income from a litigation settlement.</w:t>
      </w:r>
    </w:p>
    <w:p>
      <w:pPr>
        <w:spacing w:after="0" w:line="175" w:lineRule="exact"/>
        <w:rPr>
          <w:rFonts w:ascii="Times New Roman" w:cs="Times New Roman" w:eastAsia="Times New Roman" w:hAnsi="Times New Roman"/>
          <w:sz w:val="18"/>
          <w:szCs w:val="18"/>
          <w:color w:val="auto"/>
        </w:rPr>
      </w:pPr>
    </w:p>
    <w:p>
      <w:pPr>
        <w:ind w:left="3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Net Earnings and Diluted Earnings per Common Share from Continuing Operations, excluding Specified Items, excludes net after-tax charges of $2.123 billion, or $1.18 per share, for intangible amortization expense and other expenses primarily associated with acquisitions and restructuring actions.</w:t>
      </w:r>
    </w:p>
    <w:p>
      <w:pPr>
        <w:spacing w:after="0" w:line="38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931" w:right="39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Non-GAAP Reconciliation of Financial Information From Continuing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Fourth Quarter Ended December 31, 2020 and 2019</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4Q20</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Specified</w:t>
            </w:r>
          </w:p>
        </w:tc>
        <w:tc>
          <w:tcPr>
            <w:tcW w:w="20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to</w:t>
            </w:r>
          </w:p>
        </w:tc>
      </w:tr>
      <w:tr>
        <w:trPr>
          <w:trHeight w:val="238"/>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0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5,700</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6,257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698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2,570</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2,388</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3,039</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427</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2,158</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2,612</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1.45</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Specified items reflect intangible amortization expense of $508 million and other net expenses of $143 million, primarily associated with acquisitions, restructuring actions and other expenses. See page 17 for additional details regarding specified items.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4Q19</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Specified</w:t>
            </w:r>
          </w:p>
        </w:tc>
        <w:tc>
          <w:tcPr>
            <w:tcW w:w="20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to</w:t>
            </w:r>
          </w:p>
        </w:tc>
      </w:tr>
      <w:tr>
        <w:trPr>
          <w:trHeight w:val="238"/>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4,397</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4,942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595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2,413</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2,351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1,954</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191</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249</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1,705</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0.95</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Specified items reflect intangible amortization expense of $483 million and other expenses of $231 million, primarily associated with acquisitions, restructuring actions and other expenses. See page 18 for additional details regarding specified items.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Non-GAAP Reconciliation of Financial Information From Continuing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Year Ended December 31, 2020 and 2019</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12M20</w:t>
            </w: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Specified</w:t>
            </w:r>
          </w:p>
        </w:tc>
        <w:tc>
          <w:tcPr>
            <w:tcW w:w="22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to</w:t>
            </w:r>
          </w:p>
        </w:tc>
      </w:tr>
      <w:tr>
        <w:trPr>
          <w:trHeight w:val="238"/>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17,473</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2,452</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19,925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2,420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2,295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9,696</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9,621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4,968</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2,740</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7,708</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497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1,156</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4,471</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2,081</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6,552</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3.65</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Specified items reflect intangible amortization expense of $2.132 billion and other net expenses of $608 million, primarily associated with acquisitions, restructuring actions, asset impairments, other expenses and litigation settlement income. See page 19 for additional details regarding specified items.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12M19</w:t>
            </w: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Specified</w:t>
            </w:r>
          </w:p>
        </w:tc>
        <w:tc>
          <w:tcPr>
            <w:tcW w:w="22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to</w:t>
            </w:r>
          </w:p>
        </w:tc>
      </w:tr>
      <w:tr>
        <w:trPr>
          <w:trHeight w:val="238"/>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16,737</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2,140</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18,877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2,440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9,765</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9,525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(191)</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4,077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6,755</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390</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945</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3,687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5,810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3.24</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Specified items reflect intangible amortization expense of $1.936 billion and other expenses of $742 million, primarily associated with acquisitions, restructuring actions and other expenses. See page 20 for additional details regarding specified items.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 reconciliation of the fourth-quarter tax rates for continuing operations for 2020 and 2019 is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4Q20</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5"/>
              </w:rPr>
              <w:t>Pre-Tax</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Taxes on</w:t>
            </w:r>
          </w:p>
        </w:tc>
        <w:tc>
          <w:tcPr>
            <w:tcW w:w="20" w:type="dxa"/>
            <w:vAlign w:val="bottom"/>
          </w:tcPr>
          <w:p>
            <w:pPr>
              <w:spacing w:after="0"/>
              <w:rPr>
                <w:sz w:val="16"/>
                <w:szCs w:val="16"/>
                <w:color w:val="auto"/>
              </w:rPr>
            </w:pPr>
          </w:p>
        </w:tc>
        <w:tc>
          <w:tcPr>
            <w:tcW w:w="1080" w:type="dxa"/>
            <w:vAlign w:val="bottom"/>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Tax</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80" w:type="dxa"/>
            <w:vAlign w:val="bottom"/>
            <w:tcBorders>
              <w:bottom w:val="single" w:sz="8" w:color="CCEEFF"/>
            </w:tcBorders>
            <w:gridSpan w:val="2"/>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Specified items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Excluding specified items</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14.1%</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4Q19</w:t>
            </w: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Pre-Tax</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6"/>
              </w:rPr>
              <w:t>Taxes on</w:t>
            </w:r>
          </w:p>
        </w:tc>
        <w:tc>
          <w:tcPr>
            <w:tcW w:w="20" w:type="dxa"/>
            <w:vAlign w:val="bottom"/>
          </w:tcPr>
          <w:p>
            <w:pPr>
              <w:spacing w:after="0"/>
              <w:rPr>
                <w:sz w:val="16"/>
                <w:szCs w:val="16"/>
                <w:color w:val="auto"/>
              </w:rPr>
            </w:pPr>
          </w:p>
        </w:tc>
        <w:tc>
          <w:tcPr>
            <w:tcW w:w="1100" w:type="dxa"/>
            <w:vAlign w:val="bottom"/>
            <w:gridSpan w:val="2"/>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Tax</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Specified items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Excluding specified items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12.8%</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Tax expense on Earnings from Continuing Operations includes the recognition of approximately $135 million of tax benefits related to the impairment of certain assets, approximately $25 million of net tax benefits as a result of the resolution of various tax positions related to prior years and approximately $10 million in excess tax benefits associated with share-based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year-to-date tax rates for continuing operations for 2020 and 2019 is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12M20</w:t>
            </w:r>
          </w:p>
        </w:tc>
        <w:tc>
          <w:tcPr>
            <w:tcW w:w="11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16"/>
                <w:szCs w:val="16"/>
                <w:color w:val="auto"/>
              </w:rPr>
            </w:pPr>
          </w:p>
        </w:tc>
        <w:tc>
          <w:tcPr>
            <w:tcW w:w="11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16"/>
                <w:szCs w:val="16"/>
                <w:color w:val="auto"/>
              </w:rPr>
            </w:pPr>
          </w:p>
        </w:tc>
        <w:tc>
          <w:tcPr>
            <w:tcW w:w="12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Taxes on</w:t>
            </w:r>
          </w:p>
        </w:tc>
        <w:tc>
          <w:tcPr>
            <w:tcW w:w="110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Tax</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Specified items</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2,740</w:t>
            </w: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659</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Excluding specified items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15.0%</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12M19</w:t>
            </w:r>
          </w:p>
        </w:tc>
        <w:tc>
          <w:tcPr>
            <w:tcW w:w="11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16"/>
                <w:szCs w:val="16"/>
                <w:color w:val="auto"/>
              </w:rPr>
            </w:pPr>
          </w:p>
        </w:tc>
        <w:tc>
          <w:tcPr>
            <w:tcW w:w="11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Pre-Tax</w:t>
            </w:r>
          </w:p>
        </w:tc>
        <w:tc>
          <w:tcPr>
            <w:tcW w:w="180" w:type="dxa"/>
            <w:vAlign w:val="bottom"/>
          </w:tcPr>
          <w:p>
            <w:pPr>
              <w:spacing w:after="0"/>
              <w:rPr>
                <w:sz w:val="16"/>
                <w:szCs w:val="16"/>
                <w:color w:val="auto"/>
              </w:rPr>
            </w:pPr>
          </w:p>
        </w:tc>
        <w:tc>
          <w:tcPr>
            <w:tcW w:w="12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Taxes on</w:t>
            </w:r>
          </w:p>
        </w:tc>
        <w:tc>
          <w:tcPr>
            <w:tcW w:w="110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Tax</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(GAAP)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Specified items</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2,678</w:t>
            </w:r>
          </w:p>
        </w:tc>
        <w:tc>
          <w:tcPr>
            <w:tcW w:w="1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555</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Excluding specified items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14.0%</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Tax expense on Earnings from Continuing Operations includes the recognition of approximately $170 million of tax benefits related to the impairment of certain assets, approximately $140 million of net tax benefits as a result of the resolution of various tax positions related to prior years and approximately $100 million in excess tax benefits associated with share-based compensation.</w:t>
      </w:r>
    </w:p>
    <w:p>
      <w:pPr>
        <w:spacing w:after="0" w:line="175"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tax rate on a GAAP basis for 2019 includes the impact of a $86 million reduction of the transition tax associated with the TCJA and approximately $100 million in excess tax benefits associated with share-based compensation.</w:t>
      </w:r>
    </w:p>
    <w:p>
      <w:pPr>
        <w:spacing w:after="0" w:line="3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Quarter Ended 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Acquisition or</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 Cost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Divestiture-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 (a)</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Initiatives (b)</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Other (c)</w:t>
            </w:r>
          </w:p>
        </w:tc>
        <w:tc>
          <w:tcPr>
            <w:tcW w:w="14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Specifieds</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on Earnings from Continuing Operations (d)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provides additional details regarding the specified items described on page 14.</w:t>
      </w:r>
    </w:p>
    <w:p>
      <w:pPr>
        <w:spacing w:after="0" w:line="225" w:lineRule="exact"/>
        <w:rPr>
          <w:sz w:val="20"/>
          <w:szCs w:val="20"/>
          <w:color w:val="auto"/>
        </w:rPr>
      </w:pPr>
    </w:p>
    <w:p>
      <w:pPr>
        <w:ind w:left="340" w:right="3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include integration costs, which represent incremental costs directly related to integrating the acquired businesses and include expenditures for retention and the integration of systems, processes and business activities.</w:t>
      </w:r>
    </w:p>
    <w:p>
      <w:pPr>
        <w:spacing w:after="0" w:line="161"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cost reduction initiative expenses include severance, outplacement,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primarily relates to the impairment of an intangible asset and the net costs related to certain litigation.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tax benefit associated with the specified items and excess tax benefits associated with share-based compensation.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Quarter Ended December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Acquisition or</w:t>
            </w: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and Cost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Divestiture-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 (a)</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Initiatives (b)</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2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 (c)</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Specifieds</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tcPr>
          <w:p>
            <w:pPr>
              <w:spacing w:after="0"/>
              <w:rPr>
                <w:sz w:val="18"/>
                <w:szCs w:val="18"/>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on Earnings from Continuing Operations (d)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tcPr>
          <w:p>
            <w:pPr>
              <w:spacing w:after="0"/>
              <w:rPr>
                <w:sz w:val="22"/>
                <w:szCs w:val="22"/>
                <w:color w:val="auto"/>
              </w:rPr>
            </w:pPr>
          </w:p>
        </w:tc>
      </w:tr>
      <w:tr>
        <w:trPr>
          <w:trHeight w:val="196"/>
        </w:trPr>
        <w:tc>
          <w:tcPr>
            <w:tcW w:w="462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provides additional details regarding the specified items described on page 14.</w:t>
      </w:r>
    </w:p>
    <w:p>
      <w:pPr>
        <w:spacing w:after="0" w:line="225" w:lineRule="exact"/>
        <w:rPr>
          <w:sz w:val="20"/>
          <w:szCs w:val="20"/>
          <w:color w:val="auto"/>
        </w:rPr>
      </w:pPr>
    </w:p>
    <w:p>
      <w:pPr>
        <w:ind w:left="340" w:right="6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include costs for tax and other services related to business acquisitions, integration costs which represent incremental costs directly related to integrating the acquired businesses and include expenditures for retention, severance, and the integration of systems, processes and business activities.</w:t>
      </w:r>
    </w:p>
    <w:p>
      <w:pPr>
        <w:spacing w:after="0" w:line="175"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cost reduction initiative expenses include severance, outplacement, asset impairments,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primarily relates to costs associated with the early extinguishment of debt.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tax benefit associated with the specified items and excess tax benefits associated with share-based compensation.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 Ended 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Acquisition or</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 Cost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Divestiture-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 (a)</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Initiatives (b)</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Other (c)</w:t>
            </w:r>
          </w:p>
        </w:tc>
        <w:tc>
          <w:tcPr>
            <w:tcW w:w="14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Specifieds</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R&amp;D</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 (d)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provides additional details regarding the specified items described on page 15.</w:t>
      </w:r>
    </w:p>
    <w:p>
      <w:pPr>
        <w:spacing w:after="0" w:line="225" w:lineRule="exact"/>
        <w:rPr>
          <w:sz w:val="20"/>
          <w:szCs w:val="20"/>
          <w:color w:val="auto"/>
        </w:rPr>
      </w:pPr>
    </w:p>
    <w:p>
      <w:pPr>
        <w:ind w:left="340" w:right="3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include integration costs, which represent incremental costs directly related to integrating the acquired businesses and include expenditures for retention, severance, and the integration of systems, processes and business activities.</w:t>
      </w:r>
    </w:p>
    <w:p>
      <w:pPr>
        <w:spacing w:after="0" w:line="161"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cost reduction initiative expenses include severance, outplacement,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79" w:lineRule="exact"/>
        <w:rPr>
          <w:rFonts w:ascii="Times New Roman" w:cs="Times New Roman" w:eastAsia="Times New Roman" w:hAnsi="Times New Roman"/>
          <w:sz w:val="18"/>
          <w:szCs w:val="18"/>
          <w:color w:val="auto"/>
        </w:rPr>
      </w:pPr>
    </w:p>
    <w:p>
      <w:pPr>
        <w:ind w:left="340" w:right="66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primarily relates to impairment charges related to certain assets and the costs to acquire R&amp;D assets, partially offset by income from the settlement of litigation.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tax benefit associated with the specified items, the resolution of prior years' tax positions and excess tax benefits associated with share-based compensation.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Details of Specified Items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 Ended December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Restructure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Acquisition or</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 Cost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Divestiture-</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 (a)</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Initiatives (b)</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2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 (c)</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Specifieds</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R&amp;D</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Borders>
              <w:bottom w:val="single" w:sz="8" w:color="CCEEFF"/>
            </w:tcBorders>
          </w:tcPr>
          <w:p>
            <w:pPr>
              <w:spacing w:after="0"/>
              <w:rPr>
                <w:sz w:val="19"/>
                <w:szCs w:val="19"/>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on Earnings from Continuing Operations (d)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tcPr>
          <w:p>
            <w:pPr>
              <w:spacing w:after="0"/>
              <w:rPr>
                <w:sz w:val="22"/>
                <w:szCs w:val="22"/>
                <w:color w:val="auto"/>
              </w:rPr>
            </w:pPr>
          </w:p>
        </w:tc>
      </w:tr>
      <w:tr>
        <w:trPr>
          <w:trHeight w:val="197"/>
        </w:trPr>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provides additional details regarding the specified items described on page 15.</w:t>
      </w:r>
    </w:p>
    <w:p>
      <w:pPr>
        <w:spacing w:after="0" w:line="225" w:lineRule="exact"/>
        <w:rPr>
          <w:sz w:val="20"/>
          <w:szCs w:val="20"/>
          <w:color w:val="auto"/>
        </w:rPr>
      </w:pPr>
    </w:p>
    <w:p>
      <w:pPr>
        <w:ind w:left="340" w:right="6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include costs for tax and other services related to business acquisitions, integration costs which represent incremental costs directly related to integrating the acquired businesses and include expenditures for retention, severance, and the integration of systems, processes and business activities, and fair value adjustments to contingent consideration related to a business acquisition.</w:t>
      </w:r>
    </w:p>
    <w:p>
      <w:pPr>
        <w:spacing w:after="0" w:line="175"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cost reduction initiative expenses include severance, outplacement, asset impairments, and other direct costs associated with specific restructuring plans and cost reduction initiatives. Restructuring and cost reduction plans consist of distinct initiatives to streamline operations including the consolidation and rationalization of business activities and facilities, workforce reductions, the transfer of product lines between manufacturing facilities, and the transfer of other business activities between sites.</w:t>
      </w:r>
    </w:p>
    <w:p>
      <w:pPr>
        <w:spacing w:after="0" w:line="179"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primarily relates to the acquisition of R&amp;D assets, costs associated with the early extinguishment of debt, charges related to the impairment of certain assets, and expenses related to certain litigation settlements.</w:t>
      </w:r>
    </w:p>
    <w:p>
      <w:pPr>
        <w:spacing w:after="0" w:line="161"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tax benefit associated with the specified items, a reduction in the transition tax associated with the TCJA and excess tax benefits associated with share-based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2021-01-27T06:43:03Z</dcterms:created>
  <dcterms:modified xsi:type="dcterms:W3CDTF">2021-01-27T06:43:03Z</dcterms:modified>
</cp:coreProperties>
</file>