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780" w:right="920" w:hanging="556"/>
        <w:spacing w:after="0" w:line="256" w:lineRule="auto"/>
        <w:tabs>
          <w:tab w:leader="none" w:pos="677"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-310515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80" w:right="840" w:hanging="556"/>
        <w:spacing w:after="0" w:line="256" w:lineRule="auto"/>
        <w:tabs>
          <w:tab w:leader="none" w:pos="72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-310515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2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311"/>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0"/>
              </w:rPr>
              <w:t>Commission File No. 1-2189</w:t>
            </w: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74"/>
        </w:trPr>
        <w:tc>
          <w:tcPr>
            <w:tcW w:w="2880" w:type="dxa"/>
            <w:vAlign w:val="bottom"/>
          </w:tcPr>
          <w:p>
            <w:pPr>
              <w:spacing w:after="0"/>
              <w:rPr>
                <w:sz w:val="24"/>
                <w:szCs w:val="24"/>
                <w:color w:val="auto"/>
              </w:rPr>
            </w:pPr>
          </w:p>
        </w:tc>
        <w:tc>
          <w:tcPr>
            <w:tcW w:w="7040" w:type="dxa"/>
            <w:vAlign w:val="bottom"/>
            <w:gridSpan w:val="5"/>
          </w:tcPr>
          <w:p>
            <w:pPr>
              <w:jc w:val="center"/>
              <w:ind w:right="2788"/>
              <w:spacing w:after="0"/>
              <w:rPr>
                <w:sz w:val="20"/>
                <w:szCs w:val="20"/>
                <w:color w:val="auto"/>
              </w:rPr>
            </w:pPr>
            <w:r>
              <w:rPr>
                <w:rFonts w:ascii="Arial" w:cs="Arial" w:eastAsia="Arial" w:hAnsi="Arial"/>
                <w:sz w:val="32"/>
                <w:szCs w:val="32"/>
                <w:b w:val="1"/>
                <w:bCs w:val="1"/>
                <w:color w:val="auto"/>
              </w:rPr>
              <w:t>ABBOTT LABORATORIES</w:t>
            </w:r>
          </w:p>
        </w:tc>
      </w:tr>
      <w:tr>
        <w:trPr>
          <w:trHeight w:val="277"/>
        </w:trPr>
        <w:tc>
          <w:tcPr>
            <w:tcW w:w="6080" w:type="dxa"/>
            <w:vAlign w:val="bottom"/>
            <w:gridSpan w:val="4"/>
          </w:tcPr>
          <w:p>
            <w:pPr>
              <w:ind w:left="1900"/>
              <w:spacing w:after="0"/>
              <w:rPr>
                <w:sz w:val="20"/>
                <w:szCs w:val="20"/>
                <w:color w:val="auto"/>
              </w:rPr>
            </w:pPr>
            <w:r>
              <w:rPr>
                <w:rFonts w:ascii="Arial" w:cs="Arial" w:eastAsia="Arial" w:hAnsi="Arial"/>
                <w:sz w:val="18"/>
                <w:szCs w:val="18"/>
                <w:b w:val="1"/>
                <w:bCs w:val="1"/>
                <w:color w:val="auto"/>
              </w:rPr>
              <w:t>An Illinois Corporation</w:t>
            </w:r>
          </w:p>
        </w:tc>
        <w:tc>
          <w:tcPr>
            <w:tcW w:w="3840" w:type="dxa"/>
            <w:vAlign w:val="bottom"/>
            <w:gridSpan w:val="2"/>
          </w:tcPr>
          <w:p>
            <w:pPr>
              <w:jc w:val="center"/>
              <w:ind w:right="928"/>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40" w:type="dxa"/>
            <w:vAlign w:val="bottom"/>
            <w:gridSpan w:val="2"/>
          </w:tcPr>
          <w:p>
            <w:pPr>
              <w:jc w:val="right"/>
              <w:ind w:right="1908"/>
              <w:spacing w:after="0"/>
              <w:rPr>
                <w:sz w:val="20"/>
                <w:szCs w:val="20"/>
                <w:color w:val="auto"/>
              </w:rPr>
            </w:pPr>
            <w:r>
              <w:rPr>
                <w:rFonts w:ascii="Arial" w:cs="Arial" w:eastAsia="Arial" w:hAnsi="Arial"/>
                <w:sz w:val="18"/>
                <w:szCs w:val="18"/>
                <w:b w:val="1"/>
                <w:bCs w:val="1"/>
                <w:color w:val="auto"/>
              </w:rPr>
              <w:t>36-0698440</w:t>
            </w:r>
          </w:p>
        </w:tc>
      </w:tr>
      <w:tr>
        <w:trPr>
          <w:trHeight w:val="292"/>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3"/>
              </w:rPr>
              <w:t>100 Abbott Park Road</w:t>
            </w: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4"/>
          </w:tcPr>
          <w:p>
            <w:pPr>
              <w:jc w:val="center"/>
              <w:ind w:right="3568"/>
              <w:spacing w:after="0"/>
              <w:rPr>
                <w:sz w:val="20"/>
                <w:szCs w:val="20"/>
                <w:color w:val="auto"/>
              </w:rPr>
            </w:pPr>
            <w:r>
              <w:rPr>
                <w:rFonts w:ascii="Arial" w:cs="Arial" w:eastAsia="Arial" w:hAnsi="Arial"/>
                <w:sz w:val="18"/>
                <w:szCs w:val="18"/>
                <w:b w:val="1"/>
                <w:bCs w:val="1"/>
                <w:color w:val="auto"/>
                <w:w w:val="92"/>
              </w:rPr>
              <w:t>Abbott Park, Illinois 60064-6400</w:t>
            </w:r>
          </w:p>
        </w:tc>
      </w:tr>
      <w:tr>
        <w:trPr>
          <w:trHeight w:val="310"/>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jc w:val="center"/>
              <w:ind w:right="19"/>
              <w:spacing w:after="0"/>
              <w:rPr>
                <w:sz w:val="20"/>
                <w:szCs w:val="20"/>
                <w:color w:val="auto"/>
              </w:rPr>
            </w:pPr>
            <w:r>
              <w:rPr>
                <w:rFonts w:ascii="Arial" w:cs="Arial" w:eastAsia="Arial" w:hAnsi="Arial"/>
                <w:sz w:val="18"/>
                <w:szCs w:val="18"/>
                <w:color w:val="auto"/>
                <w:w w:val="91"/>
              </w:rPr>
              <w:t xml:space="preserve">Telephone: </w:t>
            </w:r>
            <w:r>
              <w:rPr>
                <w:rFonts w:ascii="Arial" w:cs="Arial" w:eastAsia="Arial" w:hAnsi="Arial"/>
                <w:sz w:val="18"/>
                <w:szCs w:val="18"/>
                <w:b w:val="1"/>
                <w:bCs w:val="1"/>
                <w:color w:val="auto"/>
                <w:w w:val="91"/>
              </w:rPr>
              <w:t>(224) 667-6100</w:t>
            </w: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58"/>
        </w:trPr>
        <w:tc>
          <w:tcPr>
            <w:tcW w:w="2880" w:type="dxa"/>
            <w:vAlign w:val="bottom"/>
          </w:tcPr>
          <w:p>
            <w:pPr>
              <w:spacing w:after="0"/>
              <w:rPr>
                <w:sz w:val="22"/>
                <w:szCs w:val="22"/>
                <w:color w:val="auto"/>
              </w:rPr>
            </w:pPr>
          </w:p>
        </w:tc>
        <w:tc>
          <w:tcPr>
            <w:tcW w:w="7040" w:type="dxa"/>
            <w:vAlign w:val="bottom"/>
            <w:gridSpan w:val="5"/>
          </w:tcPr>
          <w:p>
            <w:pPr>
              <w:jc w:val="center"/>
              <w:ind w:right="28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28"/>
        </w:trPr>
        <w:tc>
          <w:tcPr>
            <w:tcW w:w="2880" w:type="dxa"/>
            <w:vAlign w:val="bottom"/>
            <w:tcBorders>
              <w:bottom w:val="single" w:sz="8" w:color="auto"/>
            </w:tcBorders>
          </w:tcPr>
          <w:p>
            <w:pPr>
              <w:jc w:val="center"/>
              <w:ind w:left="702"/>
              <w:spacing w:after="0"/>
              <w:rPr>
                <w:sz w:val="20"/>
                <w:szCs w:val="20"/>
                <w:color w:val="auto"/>
              </w:rPr>
            </w:pPr>
            <w:r>
              <w:rPr>
                <w:rFonts w:ascii="Arial" w:cs="Arial" w:eastAsia="Arial" w:hAnsi="Arial"/>
                <w:sz w:val="14"/>
                <w:szCs w:val="14"/>
                <w:b w:val="1"/>
                <w:bCs w:val="1"/>
                <w:color w:val="auto"/>
                <w:w w:val="91"/>
              </w:rPr>
              <w:t>Title of Each Class</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8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64"/>
        </w:trPr>
        <w:tc>
          <w:tcPr>
            <w:tcW w:w="2880" w:type="dxa"/>
            <w:vAlign w:val="bottom"/>
          </w:tcPr>
          <w:p>
            <w:pPr>
              <w:jc w:val="center"/>
              <w:ind w:left="722"/>
              <w:spacing w:after="0"/>
              <w:rPr>
                <w:sz w:val="20"/>
                <w:szCs w:val="20"/>
                <w:color w:val="auto"/>
              </w:rPr>
            </w:pPr>
            <w:r>
              <w:rPr>
                <w:rFonts w:ascii="Arial" w:cs="Arial" w:eastAsia="Arial" w:hAnsi="Arial"/>
                <w:sz w:val="14"/>
                <w:szCs w:val="14"/>
                <w:color w:val="auto"/>
                <w:w w:val="92"/>
              </w:rPr>
              <w:t>Common Shares, Without Par Value</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ABT</w:t>
            </w:r>
          </w:p>
        </w:tc>
        <w:tc>
          <w:tcPr>
            <w:tcW w:w="28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bl>
    <w:p>
      <w:pPr>
        <w:spacing w:after="0" w:line="92" w:lineRule="exact"/>
        <w:rPr>
          <w:sz w:val="24"/>
          <w:szCs w:val="24"/>
          <w:color w:val="auto"/>
        </w:rPr>
      </w:pPr>
    </w:p>
    <w:p>
      <w:pPr>
        <w:jc w:val="both"/>
        <w:ind w:right="3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(l) has filed all reports required to be filed by Section 13 or 15(d) of the Securities Exchange Act of l934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ind w:right="5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5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Large Accelerated Filer</w:t>
            </w:r>
          </w:p>
        </w:tc>
        <w:tc>
          <w:tcPr>
            <w:tcW w:w="2480" w:type="dxa"/>
            <w:vAlign w:val="bottom"/>
            <w:tcBorders>
              <w:top w:val="single" w:sz="8" w:color="auto"/>
              <w:bottom w:val="single" w:sz="8" w:color="auto"/>
              <w:right w:val="single" w:sz="8" w:color="auto"/>
            </w:tcBorders>
          </w:tcPr>
          <w:p>
            <w:pPr>
              <w:ind w:left="8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24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Accelerated Filer</w:t>
            </w:r>
          </w:p>
        </w:tc>
        <w:tc>
          <w:tcPr>
            <w:tcW w:w="2480" w:type="dxa"/>
            <w:vAlign w:val="bottom"/>
            <w:tcBorders>
              <w:top w:val="single" w:sz="8" w:color="auto"/>
              <w:bottom w:val="single" w:sz="8" w:color="auto"/>
              <w:right w:val="single" w:sz="8" w:color="auto"/>
            </w:tcBorders>
          </w:tcPr>
          <w:p>
            <w:pPr>
              <w:ind w:left="8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10"/>
        </w:trPr>
        <w:tc>
          <w:tcPr>
            <w:tcW w:w="2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Non-Accelerated Filer</w:t>
            </w:r>
          </w:p>
        </w:tc>
        <w:tc>
          <w:tcPr>
            <w:tcW w:w="2480" w:type="dxa"/>
            <w:vAlign w:val="bottom"/>
            <w:tcBorders>
              <w:bottom w:val="single" w:sz="8" w:color="auto"/>
              <w:right w:val="single" w:sz="8" w:color="auto"/>
            </w:tcBorders>
          </w:tcPr>
          <w:p>
            <w:pPr>
              <w:ind w:left="80"/>
              <w:spacing w:after="0" w:line="210" w:lineRule="exact"/>
              <w:rPr>
                <w:sz w:val="20"/>
                <w:szCs w:val="20"/>
                <w:color w:val="auto"/>
              </w:rPr>
            </w:pPr>
            <w:r>
              <w:rPr>
                <w:rFonts w:ascii="Arial Unicode MS" w:cs="Arial Unicode MS" w:eastAsia="Arial Unicode MS" w:hAnsi="Arial Unicode MS"/>
                <w:sz w:val="18"/>
                <w:szCs w:val="18"/>
                <w:color w:val="auto"/>
              </w:rPr>
              <w:t>☐</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Smaller reporting company</w:t>
            </w:r>
          </w:p>
        </w:tc>
        <w:tc>
          <w:tcPr>
            <w:tcW w:w="2480" w:type="dxa"/>
            <w:vAlign w:val="bottom"/>
            <w:tcBorders>
              <w:bottom w:val="single" w:sz="8" w:color="auto"/>
              <w:right w:val="single" w:sz="8" w:color="auto"/>
            </w:tcBorders>
          </w:tcPr>
          <w:p>
            <w:pPr>
              <w:ind w:left="80"/>
              <w:spacing w:after="0" w:line="210" w:lineRule="exact"/>
              <w:rPr>
                <w:sz w:val="20"/>
                <w:szCs w:val="20"/>
                <w:color w:val="auto"/>
              </w:rPr>
            </w:pPr>
            <w:r>
              <w:rPr>
                <w:rFonts w:ascii="Arial Unicode MS" w:cs="Arial Unicode MS" w:eastAsia="Arial Unicode MS" w:hAnsi="Arial Unicode MS"/>
                <w:sz w:val="18"/>
                <w:szCs w:val="18"/>
                <w:color w:val="auto"/>
              </w:rPr>
              <w:t>☐</w:t>
            </w:r>
          </w:p>
        </w:tc>
      </w:tr>
      <w:tr>
        <w:trPr>
          <w:trHeight w:val="210"/>
        </w:trPr>
        <w:tc>
          <w:tcPr>
            <w:tcW w:w="2500" w:type="dxa"/>
            <w:vAlign w:val="bottom"/>
            <w:tcBorders>
              <w:left w:val="single" w:sz="8" w:color="auto"/>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Emerging growth company</w:t>
            </w:r>
          </w:p>
        </w:tc>
        <w:tc>
          <w:tcPr>
            <w:tcW w:w="2480" w:type="dxa"/>
            <w:vAlign w:val="bottom"/>
            <w:tcBorders>
              <w:bottom w:val="single" w:sz="8" w:color="auto"/>
              <w:right w:val="single" w:sz="8" w:color="auto"/>
            </w:tcBorders>
          </w:tcPr>
          <w:p>
            <w:pPr>
              <w:ind w:left="80"/>
              <w:spacing w:after="0" w:line="210" w:lineRule="exact"/>
              <w:rPr>
                <w:sz w:val="20"/>
                <w:szCs w:val="20"/>
                <w:color w:val="auto"/>
              </w:rPr>
            </w:pPr>
            <w:r>
              <w:rPr>
                <w:rFonts w:ascii="Arial Unicode MS" w:cs="Arial Unicode MS" w:eastAsia="Arial Unicode MS" w:hAnsi="Arial Unicode MS"/>
                <w:sz w:val="18"/>
                <w:szCs w:val="18"/>
                <w:color w:val="auto"/>
              </w:rPr>
              <w:t>☐</w:t>
            </w:r>
          </w:p>
        </w:tc>
      </w:tr>
    </w:tbl>
    <w:p>
      <w:pPr>
        <w:spacing w:after="0" w:line="80" w:lineRule="exact"/>
        <w:rPr>
          <w:sz w:val="24"/>
          <w:szCs w:val="24"/>
          <w:color w:val="auto"/>
        </w:rPr>
      </w:pPr>
    </w:p>
    <w:p>
      <w:pPr>
        <w:ind w:right="340" w:firstLine="324"/>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9" w:lineRule="exact"/>
        <w:rPr>
          <w:sz w:val="24"/>
          <w:szCs w:val="24"/>
          <w:color w:val="auto"/>
        </w:rPr>
      </w:pPr>
    </w:p>
    <w:p>
      <w:pPr>
        <w:ind w:left="340" w:right="34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September 30, 2020, Abbott Laboratories had 1,772,361,581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694690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3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 - Financial Information</w:t>
        </w:r>
      </w:hyperlink>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Item 1. Financial Statements and Supplementary Data</w:t>
            </w: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6"/>
        </w:trPr>
        <w:tc>
          <w:tcPr>
            <w:tcW w:w="92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540" w:type="dxa"/>
            <w:vAlign w:val="bottom"/>
          </w:tcPr>
          <w:p>
            <w:pPr>
              <w:spacing w:after="0"/>
              <w:rPr>
                <w:sz w:val="24"/>
                <w:szCs w:val="24"/>
                <w:color w:val="auto"/>
              </w:rPr>
            </w:pPr>
          </w:p>
        </w:tc>
        <w:tc>
          <w:tcPr>
            <w:tcW w:w="86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 of Earnings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 of Comprehensive Income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6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 of Shareholders’ Investment</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86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 of Cash Flows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6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Condensed Consolidated Financial Statements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540" w:type="dxa"/>
            <w:vAlign w:val="bottom"/>
          </w:tcPr>
          <w:p>
            <w:pPr>
              <w:spacing w:after="0"/>
              <w:rPr>
                <w:rFonts w:ascii="Arial" w:cs="Arial" w:eastAsia="Arial" w:hAnsi="Arial"/>
                <w:sz w:val="18"/>
                <w:szCs w:val="18"/>
                <w:u w:val="single" w:color="auto"/>
                <w:color w:val="0000EE"/>
                <w:w w:val="94"/>
              </w:rPr>
            </w:pPr>
            <w:hyperlink w:anchor="page32">
              <w:r>
                <w:rPr>
                  <w:rFonts w:ascii="Arial" w:cs="Arial" w:eastAsia="Arial" w:hAnsi="Arial"/>
                  <w:sz w:val="18"/>
                  <w:szCs w:val="18"/>
                  <w:u w:val="single" w:color="auto"/>
                  <w:color w:val="0000EE"/>
                  <w:w w:val="94"/>
                </w:rPr>
                <w:t>Item 4.</w:t>
              </w:r>
            </w:hyperlink>
          </w:p>
        </w:tc>
        <w:tc>
          <w:tcPr>
            <w:tcW w:w="868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rFonts w:ascii="Arial" w:cs="Arial" w:eastAsia="Arial" w:hAnsi="Arial"/>
                <w:sz w:val="18"/>
                <w:szCs w:val="18"/>
                <w:u w:val="single" w:color="auto"/>
                <w:color w:val="0000EE"/>
                <w:w w:val="94"/>
              </w:rPr>
            </w:pPr>
            <w:hyperlink w:anchor="page32">
              <w:r>
                <w:rPr>
                  <w:rFonts w:ascii="Arial" w:cs="Arial" w:eastAsia="Arial" w:hAnsi="Arial"/>
                  <w:sz w:val="18"/>
                  <w:szCs w:val="18"/>
                  <w:u w:val="single" w:color="auto"/>
                  <w:color w:val="0000EE"/>
                  <w:w w:val="94"/>
                </w:rPr>
                <w:t>Item 1.</w:t>
              </w:r>
            </w:hyperlink>
          </w:p>
        </w:tc>
        <w:tc>
          <w:tcPr>
            <w:tcW w:w="868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540" w:type="dxa"/>
            <w:vAlign w:val="bottom"/>
          </w:tcPr>
          <w:p>
            <w:pPr>
              <w:spacing w:after="0"/>
              <w:rPr>
                <w:rFonts w:ascii="Arial" w:cs="Arial" w:eastAsia="Arial" w:hAnsi="Arial"/>
                <w:sz w:val="18"/>
                <w:szCs w:val="18"/>
                <w:u w:val="single" w:color="auto"/>
                <w:color w:val="0000EE"/>
                <w:w w:val="94"/>
              </w:rPr>
            </w:pPr>
            <w:hyperlink w:anchor="page32">
              <w:r>
                <w:rPr>
                  <w:rFonts w:ascii="Arial" w:cs="Arial" w:eastAsia="Arial" w:hAnsi="Arial"/>
                  <w:sz w:val="18"/>
                  <w:szCs w:val="18"/>
                  <w:u w:val="single" w:color="auto"/>
                  <w:color w:val="0000EE"/>
                  <w:w w:val="94"/>
                </w:rPr>
                <w:t>Item 2.</w:t>
              </w:r>
            </w:hyperlink>
          </w:p>
        </w:tc>
        <w:tc>
          <w:tcPr>
            <w:tcW w:w="8680" w:type="dxa"/>
            <w:vAlign w:val="bottom"/>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540" w:type="dxa"/>
            <w:vAlign w:val="bottom"/>
          </w:tcPr>
          <w:p>
            <w:pPr>
              <w:spacing w:after="0"/>
              <w:rPr>
                <w:rFonts w:ascii="Arial" w:cs="Arial" w:eastAsia="Arial" w:hAnsi="Arial"/>
                <w:sz w:val="18"/>
                <w:szCs w:val="18"/>
                <w:u w:val="single" w:color="auto"/>
                <w:color w:val="0000EE"/>
                <w:w w:val="94"/>
              </w:rPr>
            </w:pPr>
            <w:hyperlink w:anchor="page33">
              <w:r>
                <w:rPr>
                  <w:rFonts w:ascii="Arial" w:cs="Arial" w:eastAsia="Arial" w:hAnsi="Arial"/>
                  <w:sz w:val="18"/>
                  <w:szCs w:val="18"/>
                  <w:u w:val="single" w:color="auto"/>
                  <w:color w:val="0000EE"/>
                  <w:w w:val="94"/>
                </w:rPr>
                <w:t>Item 6.</w:t>
              </w:r>
            </w:hyperlink>
          </w:p>
        </w:tc>
        <w:tc>
          <w:tcPr>
            <w:tcW w:w="8680" w:type="dxa"/>
            <w:vAlign w:val="bottom"/>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922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5"/>
              </w:rPr>
              <w:t>Cost of products sold, excluding amortization of intangible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cost and expenses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Earnings from continuing operations before taxes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Tax expense on earnings from continuing operations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Earnings Per Common Share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4"/>
              </w:rPr>
              <w:t>Average Number of Common Shares Outstanding Used for Basic</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1,774,475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1,771,521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1,772,166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1,767,985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Options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Pr>
          <w:p>
            <w:pPr>
              <w:spacing w:after="0" w:line="182" w:lineRule="exact"/>
              <w:rPr>
                <w:sz w:val="20"/>
                <w:szCs w:val="20"/>
                <w:color w:val="auto"/>
              </w:rPr>
            </w:pPr>
            <w:r>
              <w:rPr>
                <w:rFonts w:ascii="Arial" w:cs="Arial" w:eastAsia="Arial" w:hAnsi="Arial"/>
                <w:sz w:val="18"/>
                <w:szCs w:val="18"/>
                <w:color w:val="auto"/>
                <w:w w:val="98"/>
              </w:rPr>
              <w:t>Average Number of Common Shares Outstanding Plus Dilutive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1,787,853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1,784,167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1,784,547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1,780,803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8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Outstanding Common Stock Options Having No Dilutive Effect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8"/>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40" w:type="dxa"/>
            <w:vAlign w:val="bottom"/>
          </w:tcPr>
          <w:p>
            <w:pPr>
              <w:spacing w:after="0"/>
              <w:rPr>
                <w:sz w:val="14"/>
                <w:szCs w:val="14"/>
                <w:color w:val="auto"/>
              </w:rPr>
            </w:pPr>
          </w:p>
        </w:tc>
        <w:tc>
          <w:tcPr>
            <w:tcW w:w="2180" w:type="dxa"/>
            <w:vAlign w:val="bottom"/>
            <w:gridSpan w:val="8"/>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40" w:type="dxa"/>
            <w:vAlign w:val="bottom"/>
            <w:shd w:val="clear" w:color="auto" w:fill="CCEEFF"/>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Foreign currency translation gain (loss) adjustments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actuarial gains (losses) and amortization of net actuarial losses and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prior service costs and credits, net of taxes of $14 and $42 in 2020 and</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 and $21 in 2019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20"/>
                <w:szCs w:val="20"/>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6"/>
              </w:rPr>
              <w:t>Net gains (losses) for derivative instruments designated as cash flow</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w w:val="91"/>
              </w:rPr>
              <w:t>hedges and other, net of taxes of $(43) and $(24) in 2020 and $23 and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$8 in 2019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4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r>
      <w:tr>
        <w:trPr>
          <w:trHeight w:val="209"/>
        </w:trPr>
        <w:tc>
          <w:tcPr>
            <w:tcW w:w="65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Supplemental Accumulated Other Comprehensive Income (Loss) Information, net of tax:</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Cumulative foreign currency translation (loss) adjustments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(5,601)</w:t>
            </w:r>
          </w:p>
        </w:tc>
        <w:tc>
          <w:tcPr>
            <w:tcW w:w="14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(4,924)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(losses) and prior service (costs) and credits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r>
      <w:tr>
        <w:trPr>
          <w:trHeight w:val="216"/>
        </w:trPr>
        <w:tc>
          <w:tcPr>
            <w:tcW w:w="6860" w:type="dxa"/>
            <w:vAlign w:val="bottom"/>
            <w:gridSpan w:val="7"/>
          </w:tcPr>
          <w:p>
            <w:pPr>
              <w:spacing w:after="0"/>
              <w:rPr>
                <w:sz w:val="20"/>
                <w:szCs w:val="20"/>
                <w:color w:val="auto"/>
              </w:rPr>
            </w:pPr>
            <w:r>
              <w:rPr>
                <w:rFonts w:ascii="Arial" w:cs="Arial" w:eastAsia="Arial" w:hAnsi="Arial"/>
                <w:sz w:val="18"/>
                <w:szCs w:val="18"/>
                <w:color w:val="auto"/>
                <w:w w:val="90"/>
              </w:rPr>
              <w:t>Cumulative gains (losses) on derivative instruments designated as cash flow hedges and other</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(8,465)</w:t>
            </w: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Condensed Consolidated Balance Sheet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allowances of $446 in 2020 and $384 in 2019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products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Materials</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Total inventories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Net property and equipment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amortization</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assets</w:t>
            </w: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67,887</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vMerge w:val="restart"/>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Investment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commissions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10,257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Post-employment obligations, deferred income taxes and other long-term liabilities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Shareholders’ Investment: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shares, one dollar par value Authorized — 1,000,000 shares, none issued</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ind w:left="100"/>
              <w:spacing w:after="0" w:line="201" w:lineRule="exact"/>
              <w:rPr>
                <w:sz w:val="20"/>
                <w:szCs w:val="20"/>
                <w:color w:val="auto"/>
              </w:rPr>
            </w:pPr>
            <w:r>
              <w:rPr>
                <w:rFonts w:ascii="Arial" w:cs="Arial" w:eastAsia="Arial" w:hAnsi="Arial"/>
                <w:sz w:val="18"/>
                <w:szCs w:val="18"/>
                <w:color w:val="auto"/>
              </w:rPr>
              <w:t>Common shares, without par value Authorized — 2,400,000,000 shares</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220"/>
              <w:spacing w:after="0"/>
              <w:rPr>
                <w:sz w:val="20"/>
                <w:szCs w:val="20"/>
                <w:color w:val="auto"/>
              </w:rPr>
            </w:pPr>
            <w:r>
              <w:rPr>
                <w:rFonts w:ascii="Arial" w:cs="Arial" w:eastAsia="Arial" w:hAnsi="Arial"/>
                <w:sz w:val="18"/>
                <w:szCs w:val="18"/>
                <w:color w:val="auto"/>
                <w:w w:val="97"/>
              </w:rPr>
              <w:t>Issued at stated capital amount — Shares: 2020: 1,980,767,223; 2019: 1,976,855,085</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24,037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Common shares held in treasury, at cost — Shares: 2020: 208,405,642; 2019: 214,351,838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Earnings employed in the business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26,266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Total Abbott Shareholders’ Investment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Interests in Subsidiaries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Shareholders’ Investment</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31,595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this statement.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June 30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1,979,594,379; 2019: 1,976,248,129</w:t>
            </w:r>
          </w:p>
        </w:tc>
        <w:tc>
          <w:tcPr>
            <w:tcW w:w="8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Issued under incentive stock programs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1,172,844; 2019: 457,156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awards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1,980,767,223; 2019: 1,976,705,285</w:t>
            </w:r>
          </w:p>
        </w:tc>
        <w:tc>
          <w:tcPr>
            <w:tcW w:w="8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Held in Treasury:</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June 30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209,064,380; 2019: 208,850,514</w:t>
            </w:r>
          </w:p>
        </w:tc>
        <w:tc>
          <w:tcPr>
            <w:tcW w:w="8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(9,904)</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Issued under incentive stock programs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664,727; 2019: 605,458</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Purchased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5,989; 2019: 4,524</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2020: 208,405,642; 2019: 208,249,580</w:t>
            </w:r>
          </w:p>
        </w:tc>
        <w:tc>
          <w:tcPr>
            <w:tcW w:w="8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Earnings Employed in the Business: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June 30</w:t>
            </w:r>
          </w:p>
        </w:tc>
        <w:tc>
          <w:tcPr>
            <w:tcW w:w="88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25,669</w:t>
            </w:r>
          </w:p>
        </w:tc>
        <w:tc>
          <w:tcPr>
            <w:tcW w:w="22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dividends declared on common shares (per share — 2020: $0.36; 2019: $0.32)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and treasury share transactions</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4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640" w:type="dxa"/>
            <w:vAlign w:val="bottom"/>
          </w:tcPr>
          <w:p>
            <w:pPr>
              <w:spacing w:after="0"/>
              <w:rPr>
                <w:sz w:val="21"/>
                <w:szCs w:val="21"/>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8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(9,080)</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Balance at June 30</w:t>
            </w:r>
          </w:p>
        </w:tc>
        <w:tc>
          <w:tcPr>
            <w:tcW w:w="88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Interests’ share of income, business combinations, net of distributions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and share repurchases</w:t>
            </w: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6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Shareholders’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5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1,976,855,085; 2019: 1,971,189,465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Issued under incentive stock programs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3,912,138; 2019: 5,515,820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awards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1,980,767,223; 2019: 1,976,705,285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Held in Treasury: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214,351,838; 2019: 215,570,043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Issued under incentive stock programs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6,211,326; 2019: 7,591,844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265,130; 2019: 271,381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2020: 208,405,642; 2019: 208,249,580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(9,873)</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Earnings Employed in the Business: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25,847</w:t>
            </w:r>
          </w:p>
        </w:tc>
        <w:tc>
          <w:tcPr>
            <w:tcW w:w="100" w:type="dxa"/>
            <w:vAlign w:val="bottom"/>
          </w:tcPr>
          <w:p>
            <w:pPr>
              <w:spacing w:after="0"/>
              <w:rPr>
                <w:sz w:val="18"/>
                <w:szCs w:val="18"/>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Impact of adoption of new accounting standard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on common shares (per share — 2020: $1.08; 2019: $0.96)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common and treasury share transactions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(8,465)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Noncontrolling Interests’ share of income, business combinations, net of distributions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80"/>
              <w:spacing w:after="0"/>
              <w:rPr>
                <w:sz w:val="20"/>
                <w:szCs w:val="20"/>
                <w:color w:val="auto"/>
              </w:rPr>
            </w:pPr>
            <w:r>
              <w:rPr>
                <w:rFonts w:ascii="Arial" w:cs="Arial" w:eastAsia="Arial" w:hAnsi="Arial"/>
                <w:sz w:val="18"/>
                <w:szCs w:val="18"/>
                <w:color w:val="auto"/>
              </w:rPr>
              <w:t>and share repurchases</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(Used in) Operating Activities: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2,333</w:t>
            </w:r>
          </w:p>
        </w:tc>
        <w:tc>
          <w:tcPr>
            <w:tcW w:w="2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from operating activities -</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Trade receivables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(838)</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From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4,103</w:t>
            </w:r>
          </w:p>
        </w:tc>
        <w:tc>
          <w:tcPr>
            <w:tcW w:w="2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Cash Flow From (Used in) Investing Activities: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Acquisitions of property and equipment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(1,498)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Acquisitions of businesses and technologies, net of cash acquired</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business dispositions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Sales (purchases) of other investment securities, net</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Cash Flow From (Used in) Financing Activities: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borrowings (repayments) of short-term debt and other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Proceeds from issuance of long-term debt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(1,332)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Purchases of common shares</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(242)</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stock options exercised</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0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(1,919)</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2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Year</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rules and regulations of the Securities and Exchange Commission and, therefore, do not include all information and footnote disclosures normally included in audited financial statements. However, in the opinion of management, all adjustments (which include only normal adjustments) necessary to present fairly the results of operations, financial position and cash flows have been made. It is suggested that these statements be read in conjunction with the financial statements included in Abbott’s Annual Report on Form 10-K for the year ended December 31, 2019. The condensed consolidated financial statements include the accounts of the parent company and subsidiaries, after elimination of intercompany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w:t>
      </w:r>
      <w:r>
        <w:rPr>
          <w:rFonts w:ascii="Arial" w:cs="Arial" w:eastAsia="Arial" w:hAnsi="Arial"/>
          <w:sz w:val="18"/>
          <w:szCs w:val="18"/>
          <w:color w:val="auto"/>
        </w:rPr>
        <w:t>, which changes the methodology to be used to measure credit losses for certain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including trade receivables. The new methodology requires the recognition of an allowance that reflects the current estimate of credit losses expected to be incurred over the life of the financial asset. Abbott adopted the standard on January 1, 2020 and recorded a cumulative adjustment that was not significant to Earnings employed in the business in the Condensed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among other things, eliminates certain exceptions in the current rules regarding the approach for intraperiod tax allocations and the methodology for calculating income taxes in an interim period, and clarifies the accounting for transactions that result in a step-up in the tax basis of goodwill. The standard becomes effective for Abbott in the first quarter of 2021 and early adoption is permitted. Abbott does not expect adoption of this new standard to have a material impact on its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Abbott’s revenues are derived primarily from the sale of a broad line of health care products under short-term receivable arrangements. Abbott has four reportable segments: Established Pharmaceutical Products, Diagnostic Products, Nutritional Products, and Medical Devices.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detail by sales category: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31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80" w:type="dxa"/>
            <w:vAlign w:val="bottom"/>
          </w:tcPr>
          <w:p>
            <w:pPr>
              <w:spacing w:after="0"/>
              <w:rPr>
                <w:sz w:val="14"/>
                <w:szCs w:val="14"/>
                <w:color w:val="auto"/>
              </w:rPr>
            </w:pPr>
          </w:p>
        </w:tc>
        <w:tc>
          <w:tcPr>
            <w:tcW w:w="31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97"/>
              </w:rPr>
              <w:t>Three Months Ended September 30, 2019</w:t>
            </w:r>
          </w:p>
        </w:tc>
        <w:tc>
          <w:tcPr>
            <w:tcW w:w="0" w:type="dxa"/>
            <w:vAlign w:val="bottom"/>
          </w:tcPr>
          <w:p>
            <w:pPr>
              <w:spacing w:after="0"/>
              <w:rPr>
                <w:sz w:val="1"/>
                <w:szCs w:val="1"/>
                <w:color w:val="auto"/>
              </w:rPr>
            </w:pPr>
          </w:p>
        </w:tc>
      </w:tr>
      <w:tr>
        <w:trPr>
          <w:trHeight w:val="142"/>
        </w:trPr>
        <w:tc>
          <w:tcPr>
            <w:tcW w:w="32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Int’l</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Int’l</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Established Pharmaceutical Products —</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Key Emerging Markets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799</w:t>
            </w:r>
          </w:p>
        </w:tc>
        <w:tc>
          <w:tcPr>
            <w:tcW w:w="1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799</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891</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Nutritionals —</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Pediatric Nutritionals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Adult Nutritionals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Diagnostics —</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Core Laboratory</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Molecular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Point of Care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Rapid Diagnostics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Medical Devices —</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Rhythm Management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Electrophysiology</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Heart Failure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Vascular</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Structural Heart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color w:val="auto"/>
              </w:rPr>
              <w:t>Neuromodulation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Diabetes Care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0" w:gutter="0" w:footer="0" w:header="0"/>
        </w:sectPr>
      </w:pPr>
    </w:p>
    <w:bookmarkStart w:id="9" w:name="page10"/>
    <w:bookmarkEnd w:id="9"/>
    <w:p>
      <w:pPr>
        <w:spacing w:after="0"/>
        <w:tabs>
          <w:tab w:leader="none" w:pos="3280" w:val="left"/>
          <w:tab w:leader="none" w:pos="3760" w:val="left"/>
          <w:tab w:leader="none" w:pos="4380" w:val="left"/>
          <w:tab w:leader="none" w:pos="4880" w:val="left"/>
          <w:tab w:leader="none" w:pos="5480" w:val="left"/>
          <w:tab w:leader="none" w:pos="5980" w:val="left"/>
          <w:tab w:leader="none" w:pos="6600" w:val="left"/>
          <w:tab w:leader="none" w:pos="7100" w:val="left"/>
          <w:tab w:leader="none" w:pos="7700" w:val="left"/>
          <w:tab w:leader="none" w:pos="8220" w:val="left"/>
          <w:tab w:leader="none" w:pos="8820" w:val="left"/>
          <w:tab w:leader="none" w:pos="934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3,329</w:t>
        <w:tab/>
        <w:t>$</w:t>
      </w:r>
      <w:r>
        <w:rPr>
          <w:sz w:val="20"/>
          <w:szCs w:val="20"/>
          <w:color w:val="auto"/>
        </w:rPr>
        <w:tab/>
      </w:r>
      <w:r>
        <w:rPr>
          <w:rFonts w:ascii="Arial" w:cs="Arial" w:eastAsia="Arial" w:hAnsi="Arial"/>
          <w:sz w:val="16"/>
          <w:szCs w:val="16"/>
          <w:color w:val="auto"/>
        </w:rPr>
        <w:t>5,524</w:t>
        <w:tab/>
        <w:t>$</w:t>
      </w:r>
      <w:r>
        <w:rPr>
          <w:sz w:val="20"/>
          <w:szCs w:val="20"/>
          <w:color w:val="auto"/>
        </w:rPr>
        <w:tab/>
      </w:r>
      <w:r>
        <w:rPr>
          <w:rFonts w:ascii="Arial" w:cs="Arial" w:eastAsia="Arial" w:hAnsi="Arial"/>
          <w:sz w:val="16"/>
          <w:szCs w:val="16"/>
          <w:color w:val="auto"/>
        </w:rPr>
        <w:t>8,853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2,834</w:t>
        <w:tab/>
        <w:t>$</w:t>
      </w:r>
      <w:r>
        <w:rPr>
          <w:sz w:val="20"/>
          <w:szCs w:val="20"/>
          <w:color w:val="auto"/>
        </w:rPr>
        <w:tab/>
      </w:r>
      <w:r>
        <w:rPr>
          <w:rFonts w:ascii="Arial" w:cs="Arial" w:eastAsia="Arial" w:hAnsi="Arial"/>
          <w:sz w:val="16"/>
          <w:szCs w:val="16"/>
          <w:color w:val="auto"/>
        </w:rPr>
        <w:t>5,242</w:t>
        <w:tab/>
        <w:t>$</w:t>
      </w:r>
      <w:r>
        <w:rPr>
          <w:sz w:val="20"/>
          <w:szCs w:val="20"/>
          <w:color w:val="auto"/>
        </w:rPr>
        <w:tab/>
      </w:r>
      <w:r>
        <w:rPr>
          <w:rFonts w:ascii="Arial" w:cs="Arial" w:eastAsia="Arial" w:hAnsi="Arial"/>
          <w:sz w:val="14"/>
          <w:szCs w:val="14"/>
          <w:color w:val="auto"/>
        </w:rPr>
        <w:t>8,076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17780</wp:posOffset>
            </wp:positionV>
            <wp:extent cx="412305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23055" cy="25400"/>
                    </a:xfrm>
                    <a:prstGeom prst="rect">
                      <a:avLst/>
                    </a:prstGeom>
                    <a:noFill/>
                  </pic:spPr>
                </pic:pic>
              </a:graphicData>
            </a:graphic>
          </wp:anchor>
        </w:drawing>
      </w:r>
    </w:p>
    <w:p>
      <w:pPr>
        <w:sectPr>
          <w:pgSz w:w="11900" w:h="16838" w:orient="portrait"/>
          <w:cols w:equalWidth="0" w:num="1">
            <w:col w:w="9720"/>
          </w:cols>
          <w:pgMar w:left="980" w:top="13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980" w:top="130" w:right="11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4"/>
                <w:szCs w:val="14"/>
                <w:b w:val="1"/>
                <w:bCs w:val="1"/>
                <w:color w:val="auto"/>
                <w:w w:val="93"/>
              </w:rPr>
              <w:t>Nine Months Ended September 30, 2020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4"/>
                <w:szCs w:val="14"/>
                <w:b w:val="1"/>
                <w:bCs w:val="1"/>
                <w:color w:val="auto"/>
                <w:w w:val="92"/>
              </w:rPr>
              <w:t>Nine Months Ended September 30, 2019</w:t>
            </w: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9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2"/>
                <w:szCs w:val="12"/>
                <w:color w:val="auto"/>
              </w:rPr>
            </w:pPr>
          </w:p>
        </w:tc>
        <w:tc>
          <w:tcPr>
            <w:tcW w:w="7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Established Pharmaceutical Products —</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Key Emerging Markets</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2,376</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2,376</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2,496</w:t>
            </w:r>
          </w:p>
        </w:tc>
        <w:tc>
          <w:tcPr>
            <w:tcW w:w="2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Nutritionals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Pediatric Nutritionals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Adult Nutritionals</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Diagnostics —</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Core Laboratory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Molecular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Point of Care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Rapid Diagnostics</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Medical Devices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Rhythm Management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Electrophysiology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Heart Failure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Vascular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Structural Heart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Neuromodulation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Diabetes Care</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9,035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8,823</w:t>
            </w:r>
          </w:p>
        </w:tc>
        <w:tc>
          <w:tcPr>
            <w:tcW w:w="2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15,084</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23,907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8,438</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15,152</w:t>
            </w:r>
          </w:p>
        </w:tc>
        <w:tc>
          <w:tcPr>
            <w:tcW w:w="2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2020, the estimated revenue expected to be recognized in the future related to performance obligations that are unsatisfied (or partially unsatisfied) was approximately $3.6 billion in the Diagnostics segment and approximately $430 million in the Medical Devices segment. Abbott expects to recognize revenue on approximately 60 percent of these remaining performance obligations over the next 24 months, approximately 18 percent over the subsequent 12 months and the remainder thereafter.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performance obligations primarily reflect the future sale of reagents/consumables in contracts with minimum purchase obligations, extended warranty or service obligations related to previously sold equipment, and remote monitoring services related to previously implanted devices. Abbott has applied the practical expedient described in Accounting Standards Codification (ASC) 606-10-50-14 and has not included remaining performance obligations related to contracts with original expected durations of one year or less in the amounts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Abbott discloses Trade receivables separately in the Condensed Consolidated Balance Sheet at the net amount expected to be collected.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Contract assets primarily relate to Abbott’s conditional right to consideration for work completed but not billed at the reporting date.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at the beginning and end of the period, as well as the changes in the balance, were not significant.</w:t>
      </w:r>
    </w:p>
    <w:p>
      <w:pPr>
        <w:spacing w:after="0" w:line="2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Contract liabilities primarily relate to payments received from customers in advance of performance under the contract. Abbott’s contract liabilities arise primarily in the Medical Devices reportable segment when payment is received upfront for various multi-period extended service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liabilities during the period are as follows:</w:t>
      </w:r>
    </w:p>
    <w:p>
      <w:pPr>
        <w:spacing w:after="0" w:line="261"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880" w:type="dxa"/>
            <w:vAlign w:val="bottom"/>
          </w:tcPr>
          <w:p>
            <w:pPr>
              <w:ind w:left="100"/>
              <w:spacing w:after="0"/>
              <w:rPr>
                <w:sz w:val="20"/>
                <w:szCs w:val="20"/>
                <w:color w:val="auto"/>
              </w:rPr>
            </w:pPr>
            <w:r>
              <w:rPr>
                <w:rFonts w:ascii="Arial" w:cs="Arial" w:eastAsia="Arial" w:hAnsi="Arial"/>
                <w:sz w:val="18"/>
                <w:szCs w:val="18"/>
                <w:color w:val="auto"/>
              </w:rPr>
              <w:t>Balance at December 31, 2019</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 from cash received during the period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 recognized related to contract liability balance</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10"/>
        </w:trPr>
        <w:tc>
          <w:tcPr>
            <w:tcW w:w="6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at September 30, 2020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920"/>
          </w:cols>
          <w:pgMar w:left="980" w:top="665" w:right="999" w:bottom="0" w:gutter="0" w:footer="0" w:header="0"/>
          <w:type w:val="continuous"/>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Supplemental Financial Information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Shares of unvested restricted stock that contain non-forfeitable rights to dividends are treated as participating securities and are included in the computation of earnings per share under the two-class method. Under the two-class method, net earnings are allocated between common shares and participating securities. Earnings from Continuing Operations allocated to common shares for the three months ended September 30, 2020 and 2019 were $1.226 billion and $954 million, respectively, and for the nine months ended September 30, 2020 and 2019 were $2.302 billion and $2.622 billion, respectively. Net earnings allocated to common shares for the three months ended September 30, 2020 and 2019 were $1.226 billion and $954 million, respectively, and for the nine months ended September 30, 2020 and 2019 were $2.322 billion and $2.622 billion, respectively.</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Earnings from discontinued operations, net of tax, in the first nine months of 2020 include the recognition of $20 million of tax benefits as a result of the resolution of various tax positions related to the previous sale of a business that was reported as a discontinued operation.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net in Net cash from operating activities in the Condensed Consolidated Statement of Cash Flows for the first nine months of 2020 includes $350 million of pension contributions and the payment of cash taxes of approximately $700 million. The first nine months of 2019 includes $337 million of pension contributions and the payment of cash taxes of approximately $775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for the first nine months of 2020 related to the allowance for doubtful accounts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7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Balance at December 31, 2019</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Impact of adopting ASU 2016-13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Provisions/charges to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Amounts charged off and other deductions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Balance at September 30, 2020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investments as of September 30, 2020 and December 31, 2019 are as follows:</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Equity securities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56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Abbott’s long-term investments as of September 30, 2020 declined versus the balance as of December 31, 2019 due to investment impairments totaling approximately $110 million, recorded in Other (income) expense, net within the Condensed Consolidated Statement of Earnings, which was partially offset by approximately $30 million of additional investments during the first nine months of 2020.</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Abbott's equity securities as of September 30, 2020 include approximately $336 million of investments in mutual funds that are held in a rabbi trust and were acquired as part of the St. Jude Medical, Inc. (St. Jude Medical) business acquisition. These investments, which are specifically designated as available for the purpose of paying benefits under a deferred compensation plan, are not available for general corporate purposes and are subject to creditor claims in the event of insolvency.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Abbott also holds certain investments as of September 30, 2020 with a carrying value of approximately $292 million that are accounted for under the equity method of accounting and other equity investments with a carrying value of approximately $112 million that do not have a readily determinable fair value. The $112 million carrying value is net of an approximately $60 million impairment of an investment in the second quarter of 2020 for which Abbott had previously recorded an unrealized gain of approximately $50 million in 2018.</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2019, in conjunction with the acquisition of Cephea Valve Technologies, Inc., Abbott acquired a research &amp; development (R&amp;D) asset valued at $102 million, which was immediately expensed. The $102 million of expense was recorded in the R&amp;D line of Abbott's Condensed Consolidated Statement of Earnings.</w:t>
      </w:r>
    </w:p>
    <w:p>
      <w:pPr>
        <w:sectPr>
          <w:pgSz w:w="11900" w:h="16838" w:orient="portrait"/>
          <w:cols w:equalWidth="0" w:num="1">
            <w:col w:w="9920"/>
          </w:cols>
          <w:pgMar w:left="980" w:top="665" w:right="9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20"/>
          </w:cols>
          <w:pgMar w:left="980" w:top="665" w:right="99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Changes in Accumulated Other Comprehensive Income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net of income taxes,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gridSpan w:val="4"/>
          </w:tcPr>
          <w:p>
            <w:pPr>
              <w:jc w:val="center"/>
              <w:ind w:right="128"/>
              <w:spacing w:after="0" w:line="119" w:lineRule="exact"/>
              <w:rPr>
                <w:sz w:val="20"/>
                <w:szCs w:val="20"/>
                <w:color w:val="auto"/>
              </w:rPr>
            </w:pPr>
            <w:r>
              <w:rPr>
                <w:rFonts w:ascii="Arial" w:cs="Arial" w:eastAsia="Arial" w:hAnsi="Arial"/>
                <w:sz w:val="13"/>
                <w:szCs w:val="13"/>
                <w:b w:val="1"/>
                <w:bCs w:val="1"/>
                <w:color w:val="auto"/>
              </w:rPr>
              <w:t>Cumulative Gains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4"/>
              </w:rPr>
              <w:t>Net Actuarial</w:t>
            </w:r>
          </w:p>
        </w:tc>
        <w:tc>
          <w:tcPr>
            <w:tcW w:w="180" w:type="dxa"/>
            <w:vAlign w:val="bottom"/>
          </w:tcPr>
          <w:p>
            <w:pPr>
              <w:spacing w:after="0"/>
              <w:rPr>
                <w:sz w:val="12"/>
                <w:szCs w:val="12"/>
                <w:color w:val="auto"/>
              </w:rPr>
            </w:pPr>
          </w:p>
        </w:tc>
        <w:tc>
          <w:tcPr>
            <w:tcW w:w="120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86"/>
              </w:rPr>
              <w:t>(Losses) 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Cumulative Foreign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(Losses) and Prior</w:t>
            </w:r>
          </w:p>
        </w:tc>
        <w:tc>
          <w:tcPr>
            <w:tcW w:w="180" w:type="dxa"/>
            <w:vAlign w:val="bottom"/>
          </w:tcPr>
          <w:p>
            <w:pPr>
              <w:spacing w:after="0"/>
              <w:rPr>
                <w:sz w:val="12"/>
                <w:szCs w:val="12"/>
                <w:color w:val="auto"/>
              </w:rPr>
            </w:pPr>
          </w:p>
        </w:tc>
        <w:tc>
          <w:tcPr>
            <w:tcW w:w="1200" w:type="dxa"/>
            <w:vAlign w:val="bottom"/>
            <w:gridSpan w:val="3"/>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Instruments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Service (Costs)</w:t>
            </w:r>
          </w:p>
        </w:tc>
        <w:tc>
          <w:tcPr>
            <w:tcW w:w="180" w:type="dxa"/>
            <w:vAlign w:val="bottom"/>
          </w:tcPr>
          <w:p>
            <w:pPr>
              <w:spacing w:after="0"/>
              <w:rPr>
                <w:sz w:val="12"/>
                <w:szCs w:val="12"/>
                <w:color w:val="auto"/>
              </w:rPr>
            </w:pPr>
          </w:p>
        </w:tc>
        <w:tc>
          <w:tcPr>
            <w:tcW w:w="18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0" w:type="dxa"/>
            <w:vAlign w:val="bottom"/>
          </w:tcPr>
          <w:p>
            <w:pPr>
              <w:spacing w:after="0"/>
              <w:rPr>
                <w:sz w:val="1"/>
                <w:szCs w:val="1"/>
                <w:color w:val="auto"/>
              </w:rPr>
            </w:pPr>
          </w:p>
        </w:tc>
      </w:t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3"/>
              </w:rPr>
              <w:t>and Credits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Cash Flow Hedges</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3"/>
              </w:rPr>
              <w:t>2019</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(5,713)</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(3,446)</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(2,677)</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line="110" w:lineRule="exact"/>
              <w:rPr>
                <w:sz w:val="20"/>
                <w:szCs w:val="20"/>
                <w:color w:val="auto"/>
              </w:rPr>
            </w:pPr>
            <w:r>
              <w:rPr>
                <w:rFonts w:ascii="Arial" w:cs="Arial" w:eastAsia="Arial" w:hAnsi="Arial"/>
                <w:sz w:val="12"/>
                <w:szCs w:val="12"/>
                <w:color w:val="auto"/>
              </w:rPr>
              <w:t>Other comprehensive income (loss) before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(478)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(74)</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current period comprehensive income (loss)</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(5,601)</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(3,418)</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(2,646)</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gridSpan w:val="4"/>
          </w:tcPr>
          <w:p>
            <w:pPr>
              <w:jc w:val="center"/>
              <w:ind w:right="128"/>
              <w:spacing w:after="0" w:line="119" w:lineRule="exact"/>
              <w:rPr>
                <w:sz w:val="20"/>
                <w:szCs w:val="20"/>
                <w:color w:val="auto"/>
              </w:rPr>
            </w:pPr>
            <w:r>
              <w:rPr>
                <w:rFonts w:ascii="Arial" w:cs="Arial" w:eastAsia="Arial" w:hAnsi="Arial"/>
                <w:sz w:val="13"/>
                <w:szCs w:val="13"/>
                <w:b w:val="1"/>
                <w:bCs w:val="1"/>
                <w:color w:val="auto"/>
              </w:rPr>
              <w:t>Cumulative Gains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4"/>
              </w:rPr>
              <w:t>Net Actuarial</w:t>
            </w:r>
          </w:p>
        </w:tc>
        <w:tc>
          <w:tcPr>
            <w:tcW w:w="180" w:type="dxa"/>
            <w:vAlign w:val="bottom"/>
          </w:tcPr>
          <w:p>
            <w:pPr>
              <w:spacing w:after="0"/>
              <w:rPr>
                <w:sz w:val="12"/>
                <w:szCs w:val="12"/>
                <w:color w:val="auto"/>
              </w:rPr>
            </w:pPr>
          </w:p>
        </w:tc>
        <w:tc>
          <w:tcPr>
            <w:tcW w:w="120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86"/>
              </w:rPr>
              <w:t>(Losses) 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Cumulative Foreign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(Losses) and Prior</w:t>
            </w:r>
          </w:p>
        </w:tc>
        <w:tc>
          <w:tcPr>
            <w:tcW w:w="180" w:type="dxa"/>
            <w:vAlign w:val="bottom"/>
          </w:tcPr>
          <w:p>
            <w:pPr>
              <w:spacing w:after="0"/>
              <w:rPr>
                <w:sz w:val="12"/>
                <w:szCs w:val="12"/>
                <w:color w:val="auto"/>
              </w:rPr>
            </w:pPr>
          </w:p>
        </w:tc>
        <w:tc>
          <w:tcPr>
            <w:tcW w:w="1200" w:type="dxa"/>
            <w:vAlign w:val="bottom"/>
            <w:gridSpan w:val="3"/>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Instruments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Currency Translation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Service (Costs)</w:t>
            </w:r>
          </w:p>
        </w:tc>
        <w:tc>
          <w:tcPr>
            <w:tcW w:w="180" w:type="dxa"/>
            <w:vAlign w:val="bottom"/>
          </w:tcPr>
          <w:p>
            <w:pPr>
              <w:spacing w:after="0"/>
              <w:rPr>
                <w:sz w:val="14"/>
                <w:szCs w:val="14"/>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Designated as</w:t>
            </w:r>
          </w:p>
        </w:tc>
        <w:tc>
          <w:tcPr>
            <w:tcW w:w="0" w:type="dxa"/>
            <w:vAlign w:val="bottom"/>
          </w:tcPr>
          <w:p>
            <w:pPr>
              <w:spacing w:after="0"/>
              <w:rPr>
                <w:sz w:val="1"/>
                <w:szCs w:val="1"/>
                <w:color w:val="auto"/>
              </w:rPr>
            </w:pPr>
          </w:p>
        </w:tc>
      </w:t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4"/>
              </w:rPr>
              <w:t>Adjustments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3"/>
              </w:rPr>
              <w:t>and Credits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Cash Flow Hedges</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3"/>
              </w:rPr>
              <w:t>2019</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(4,924)</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(3,540)</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(2,726)</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line="110" w:lineRule="exact"/>
              <w:rPr>
                <w:sz w:val="20"/>
                <w:szCs w:val="20"/>
                <w:color w:val="auto"/>
              </w:rPr>
            </w:pPr>
            <w:r>
              <w:rPr>
                <w:rFonts w:ascii="Arial" w:cs="Arial" w:eastAsia="Arial" w:hAnsi="Arial"/>
                <w:sz w:val="12"/>
                <w:szCs w:val="12"/>
                <w:color w:val="auto"/>
              </w:rPr>
              <w:t>Other comprehensive income (loss) before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30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(677)</w:t>
            </w: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current period comprehensive income (loss)</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(677)</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(5,601)</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(5,177)</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(3,418)</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(2,646)</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Reclassified amounts for foreign currency translation are recorded in the Condensed Consolidated Statement of Earnings as Net foreign exchange (gain) loss; and amounts for cash flow hedges are recorded as Cost of products sold. Net actuarial losses and prior service cost are included as a component of net periodic benefit costs; see Note 12 for additional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Goodwill and Intangible Assets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amount of goodwill reported was $23.3 billion at September 30, 2020 and $23.2 billion at December 31, 2019. Foreign currency translation adjustments increased goodwill by approximately $144 million in the first nine months of 2020. The amount of goodwill related to reportable segments at September 30, 2020 was $2.9 billion for the Established Pharmaceutical Products segment, $286 million for the Nutritional Products segment, $3.7 billion for the Diagnostic Products segment, and $16.4 billion for the Medical Devices segment. There was no reduction of goodwill relating to impairments in the first nine months of 2020.</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gross amount of amortizable intangible assets, primarily product rights and technology, was $27.5 billion as of September 30, 2020 and $27.6 billion as of December 31, 2019, and accumulated amortization was $13.5 billion as of September 30, 2020 and $11.9 billion as of December 31, 2019. Foreign currency translation adjustments decreased intangible assets by $69 million in the first nine months of 2020. An asset impairment related to the Medical Devices segment decreased intangible assets by $148 million in the third quarter and first nine months of 2020. The impairment was recorded in the Cost of products sold, excluding amortization of intangible assets line of Abbott's Condensed Consolidated Statement of Earnings. Abbott’s estimated annual amortization expense for intangible assets is approximately $2.1 billion in 2020, $2.0 billion per year in 2021, 2022, and 2023 and $1.9 billion in 2024.</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Indefinite-lived intangible assets, which relate to in-process R&amp;D acquired in a business combination, were approximately $1.2 billion and $1.3 billion as of September 30, 2020 and December 31,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7 — Restructuring Plans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2017 to 2020, Abbott management approved restructuring plans as part of the integration of the acquisitions of St. Jude Medical into the Medical Devices segment, and Alere Inc. (Alere) into the Diagnostic Products segment, in order to leverage economies of scale and reduce costs. In the first nine months of 2020, charges of $13 million were recognized, of which $6 million is recorded in Cost of products sold, $1 million is recorded in Research and development and $6 million as Selling, general and administrative expense. The following summarizes the activity for the first nine months of 2020 related to these actions and the status of the related accrual as of September 30, 2020:</w:t>
      </w:r>
    </w:p>
    <w:p>
      <w:pPr>
        <w:spacing w:after="0" w:line="134" w:lineRule="exact"/>
        <w:rPr>
          <w:sz w:val="20"/>
          <w:szCs w:val="20"/>
          <w:color w:val="auto"/>
        </w:rPr>
      </w:pPr>
    </w:p>
    <w:tbl>
      <w:tblPr>
        <w:tblLayout w:type="fixed"/>
        <w:tblInd w:w="1040" w:type="dxa"/>
        <w:tblCellMar>
          <w:top w:w="0" w:type="dxa"/>
          <w:left w:w="0" w:type="dxa"/>
          <w:bottom w:w="0" w:type="dxa"/>
          <w:right w:w="0" w:type="dxa"/>
        </w:tblCellMar>
      </w:tblPr>
      <w:tr>
        <w:trPr>
          <w:trHeight w:val="167"/>
        </w:trPr>
        <w:tc>
          <w:tcPr>
            <w:tcW w:w="70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balance at December 31, 2019</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20"/>
                <w:szCs w:val="2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Restructuring charges recorded in 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Payments and other adjustments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Accrued balance at September 30, 2020</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w:t>
            </w: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920"/>
          </w:cols>
          <w:pgMar w:left="980" w:top="665" w:right="999" w:bottom="109"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2017 to 2020, Abbott management approved plans to streamline operations in order to reduce costs and improve efficiencies in various Abbott businesses including the nutritional, established pharmaceuticals and vascular businesses. In the first nine months of 2020, charges of $29 million were recognized, of which $1 million is recorded in Cost of products sold, $1 million is recorded in Research and development and $27 million as Selling, general and administrative expense. The following summarizes the activity for the first nine months of 2020 related to these restructuring actions and the status of the related accrual as of September 30, 2020:</w:t>
      </w:r>
    </w:p>
    <w:p>
      <w:pPr>
        <w:sectPr>
          <w:pgSz w:w="11900" w:h="16838" w:orient="portrait"/>
          <w:cols w:equalWidth="0" w:num="1">
            <w:col w:w="9920"/>
          </w:cols>
          <w:pgMar w:left="980" w:top="665" w:right="999" w:bottom="352" w:gutter="0" w:footer="0" w:header="0"/>
        </w:sectPr>
      </w:pP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3810</wp:posOffset>
            </wp:positionV>
            <wp:extent cx="50317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Accrued balance at December 31, 2019</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Restructuring charges recorded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29210</wp:posOffset>
            </wp:positionV>
            <wp:extent cx="50317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Payments and other adjustments</w:t>
      </w:r>
    </w:p>
    <w:p>
      <w:pPr>
        <w:spacing w:after="0" w:line="49" w:lineRule="exact"/>
        <w:rPr>
          <w:sz w:val="20"/>
          <w:szCs w:val="20"/>
          <w:color w:val="auto"/>
        </w:rPr>
      </w:pPr>
    </w:p>
    <w:p>
      <w:pPr>
        <w:jc w:val="right"/>
        <w:ind w:right="3500"/>
        <w:spacing w:after="0"/>
        <w:rPr>
          <w:sz w:val="20"/>
          <w:szCs w:val="20"/>
          <w:color w:val="auto"/>
        </w:rPr>
      </w:pPr>
      <w:r>
        <w:rPr>
          <w:rFonts w:ascii="Arial" w:cs="Arial" w:eastAsia="Arial" w:hAnsi="Arial"/>
          <w:sz w:val="18"/>
          <w:szCs w:val="18"/>
          <w:color w:val="auto"/>
        </w:rPr>
        <w:t>Accrued balance at September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Note 8 — Incentive Stock Programs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580" w:hanging="571"/>
        <w:spacing w:after="0"/>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79</w:t>
      </w:r>
    </w:p>
    <w:p>
      <w:pPr>
        <w:spacing w:after="0" w:line="15" w:lineRule="exact"/>
        <w:rPr>
          <w:rFonts w:ascii="Arial" w:cs="Arial" w:eastAsia="Arial" w:hAnsi="Arial"/>
          <w:sz w:val="20"/>
          <w:szCs w:val="20"/>
          <w:color w:val="auto"/>
        </w:rPr>
      </w:pPr>
    </w:p>
    <w:p>
      <w:pPr>
        <w:ind w:left="580"/>
        <w:spacing w:after="0"/>
        <w:rPr>
          <w:rFonts w:ascii="Arial" w:cs="Arial" w:eastAsia="Arial" w:hAnsi="Arial"/>
          <w:sz w:val="20"/>
          <w:szCs w:val="20"/>
          <w:color w:val="auto"/>
        </w:rPr>
      </w:pPr>
      <w:r>
        <w:rPr>
          <w:rFonts w:ascii="Arial" w:cs="Arial" w:eastAsia="Arial" w:hAnsi="Arial"/>
          <w:sz w:val="20"/>
          <w:szCs w:val="20"/>
          <w:color w:val="auto"/>
        </w:rPr>
        <w:t>29</w:t>
      </w:r>
    </w:p>
    <w:p>
      <w:pPr>
        <w:jc w:val="right"/>
        <w:ind w:right="100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0</wp:posOffset>
            </wp:positionV>
            <wp:extent cx="5314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580" w:hanging="57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531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22860</wp:posOffset>
            </wp:positionV>
            <wp:extent cx="5314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698" w:lineRule="exact"/>
        <w:rPr>
          <w:sz w:val="20"/>
          <w:szCs w:val="20"/>
          <w:color w:val="auto"/>
        </w:rPr>
      </w:pPr>
    </w:p>
    <w:p>
      <w:pPr>
        <w:sectPr>
          <w:pgSz w:w="11900" w:h="16838" w:orient="portrait"/>
          <w:cols w:equalWidth="0" w:num="2">
            <w:col w:w="7360" w:space="720"/>
            <w:col w:w="1840"/>
          </w:cols>
          <w:pgMar w:left="980" w:top="665" w:right="999" w:bottom="352" w:gutter="0" w:footer="0" w:header="0"/>
          <w:type w:val="continuous"/>
        </w:sectPr>
      </w:pPr>
    </w:p>
    <w:p>
      <w:pPr>
        <w:spacing w:after="0" w:line="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first nine months of 2020, Abbott granted 4,006,336 stock options, 568,471 restricted stock awards and 5,183,375 restricted stock units under its current incentive stock program. At September 30, 2020, approximately 113 million common shares were reserved for future grants. Information regarding the number of options outstanding and exercisable at September 30, 2020 is as follows:</w:t>
      </w:r>
    </w:p>
    <w:p>
      <w:pPr>
        <w:spacing w:after="0" w:line="18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Exercisable</w:t>
            </w: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29,352,400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20,764,950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 average remaining life (</w:t>
            </w:r>
            <w:r>
              <w:rPr>
                <w:rFonts w:ascii="Arial" w:cs="Arial" w:eastAsia="Arial" w:hAnsi="Arial"/>
                <w:sz w:val="18"/>
                <w:szCs w:val="18"/>
                <w:i w:val="1"/>
                <w:iCs w:val="1"/>
                <w:color w:val="auto"/>
              </w:rPr>
              <w:t>years</w:t>
            </w: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Aggregate intrinsic value (</w:t>
            </w:r>
            <w:r>
              <w:rPr>
                <w:rFonts w:ascii="Arial" w:cs="Arial" w:eastAsia="Arial" w:hAnsi="Arial"/>
                <w:sz w:val="18"/>
                <w:szCs w:val="18"/>
                <w:i w:val="1"/>
                <w:iCs w:val="1"/>
                <w:color w:val="auto"/>
              </w:rPr>
              <w:t>in millions</w:t>
            </w: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unrecognized share-based compensation cost at September 30, 2020 amounted to approximately $499 million which is expected to be recognized over the next three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Debt and Lines of Credit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28, 2020, Abbott repaid the €1.140 billion outstanding principal amount of its 0.00% Notes due 2020 upon maturity. The repayment equated to approximately $1.3 billion.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24, 2020, Abbott completed the issuance of $1.3 billion aggregate principal amount of senior notes, consisting of $650 million of its 1.15% Notes due 2028 and $650 million of its 1.40% Notes due 2030.</w:t>
      </w:r>
    </w:p>
    <w:p>
      <w:pPr>
        <w:spacing w:after="0" w:line="197" w:lineRule="exact"/>
        <w:rPr>
          <w:sz w:val="20"/>
          <w:szCs w:val="20"/>
          <w:color w:val="auto"/>
        </w:rPr>
      </w:pPr>
    </w:p>
    <w:p>
      <w:pPr>
        <w:ind w:right="1460"/>
        <w:spacing w:after="0" w:line="465" w:lineRule="auto"/>
        <w:rPr>
          <w:sz w:val="20"/>
          <w:szCs w:val="20"/>
          <w:color w:val="auto"/>
        </w:rPr>
      </w:pPr>
      <w:r>
        <w:rPr>
          <w:rFonts w:ascii="Arial" w:cs="Arial" w:eastAsia="Arial" w:hAnsi="Arial"/>
          <w:sz w:val="18"/>
          <w:szCs w:val="18"/>
          <w:color w:val="auto"/>
        </w:rPr>
        <w:t>On February 24, 2019, Abbott redeemed the $500 million outstanding principal amount of its 2.80% Notes due 2020. Note 10 — Financial Instruments, Derivatives and Fair Value Measures</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Abbott foreign subsidiaries enter into foreign currency forward exchange contracts to manage exposures to changes in exchange rates primarily for anticipated intercompany purchases by those subsidiaries whose functional currencies are not the U.S. dollar. These contracts, with gross notional amounts totaling $7.9 billion at September 30, 2020 and $6.8 billion at December 31, 2019, are designated as cash flow hedges of the variability of the cash flows due to changes in foreign exchange rates and are recorded at fair value. Accumulated gains and losses as of September 30, 2020 will be included in Cost of products sold at the time the products are sold, generally through the next twelve to eighteen months.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other European currencies. For intercompany and trade payables and receivables, the currency exposures are primarily the U.S. dollar and European currencies. At September 30, 2020 and December 31, 2019, Abbott held the gross notional amount of $8.9 billion and $9.1 billion, respectively, of such foreign currency forward exchange contracts.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Abbott has designated a yen-denominated, 5-year term loan of approximately $566 million and $546 million as of September 30, 2020 and December 31, 2019, respectively, as a hedge of the net investment in certain foreign subsidiaries. The change in the value of the debt, which is due to changes in foreign exchange rates, is recorded in Accumulated other comprehensive income (loss), net of tax.</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Abbott is a party to interest rate hedge contracts totaling approximately $2.9 billion at September 30, 2020 and December 31, 2019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w:t>
      </w:r>
    </w:p>
    <w:p>
      <w:pPr>
        <w:sectPr>
          <w:pgSz w:w="11900" w:h="16838" w:orient="portrait"/>
          <w:cols w:equalWidth="0" w:num="1">
            <w:col w:w="9920"/>
          </w:cols>
          <w:pgMar w:left="980" w:top="665" w:right="999" w:bottom="352"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amounts and location of certain derivative financial instruments as of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ectPr>
          <w:pgSz w:w="11900" w:h="16838" w:orient="portrait"/>
          <w:cols w:equalWidth="0" w:num="1">
            <w:col w:w="9920"/>
          </w:cols>
          <w:pgMar w:left="980" w:top="665" w:right="999" w:bottom="9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p>
      <w:pPr>
        <w:ind w:left="140" w:right="180" w:hanging="129"/>
        <w:spacing w:after="0" w:line="259" w:lineRule="auto"/>
        <w:rPr>
          <w:sz w:val="20"/>
          <w:szCs w:val="20"/>
          <w:color w:val="auto"/>
        </w:rPr>
      </w:pPr>
      <w:r>
        <w:rPr>
          <w:rFonts w:ascii="Arial" w:cs="Arial" w:eastAsia="Arial" w:hAnsi="Arial"/>
          <w:sz w:val="18"/>
          <w:szCs w:val="18"/>
          <w:color w:val="auto"/>
        </w:rPr>
        <w:t>Interest rate swaps designated as fair value hedges</w:t>
      </w:r>
    </w:p>
    <w:p>
      <w:pPr>
        <w:spacing w:after="0" w:line="131" w:lineRule="exact"/>
        <w:rPr>
          <w:sz w:val="20"/>
          <w:szCs w:val="20"/>
          <w:color w:val="auto"/>
        </w:rPr>
      </w:pPr>
    </w:p>
    <w:p>
      <w:pPr>
        <w:ind w:left="140" w:right="680" w:hanging="129"/>
        <w:spacing w:after="0" w:line="258" w:lineRule="auto"/>
        <w:rPr>
          <w:sz w:val="20"/>
          <w:szCs w:val="20"/>
          <w:color w:val="auto"/>
        </w:rPr>
      </w:pPr>
      <w:r>
        <w:rPr>
          <w:rFonts w:ascii="Arial" w:cs="Arial" w:eastAsia="Arial" w:hAnsi="Arial"/>
          <w:sz w:val="18"/>
          <w:szCs w:val="18"/>
          <w:color w:val="auto"/>
        </w:rPr>
        <w:t>Foreign currency forward exchange contracts: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Hedging instruments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Others not designated as hedges</w:t>
      </w:r>
    </w:p>
    <w:p>
      <w:pPr>
        <w:spacing w:after="0" w:line="90" w:lineRule="exact"/>
        <w:rPr>
          <w:sz w:val="20"/>
          <w:szCs w:val="20"/>
          <w:color w:val="auto"/>
        </w:rPr>
      </w:pPr>
    </w:p>
    <w:p>
      <w:pPr>
        <w:ind w:left="140" w:hanging="129"/>
        <w:spacing w:after="0" w:line="277" w:lineRule="auto"/>
        <w:rPr>
          <w:sz w:val="20"/>
          <w:szCs w:val="20"/>
          <w:color w:val="auto"/>
        </w:rPr>
      </w:pPr>
      <w:r>
        <w:rPr>
          <w:rFonts w:ascii="Arial" w:cs="Arial" w:eastAsia="Arial" w:hAnsi="Arial"/>
          <w:sz w:val="18"/>
          <w:szCs w:val="18"/>
          <w:color w:val="auto"/>
        </w:rPr>
        <w:t>Debt designated as a hedge of net investment in a foreign subsidiary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 - Assets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 Liabilities</w:t>
            </w:r>
          </w:p>
        </w:tc>
        <w:tc>
          <w:tcPr>
            <w:tcW w:w="0" w:type="dxa"/>
            <w:vAlign w:val="bottom"/>
          </w:tcPr>
          <w:p>
            <w:pPr>
              <w:spacing w:after="0"/>
              <w:rPr>
                <w:sz w:val="1"/>
                <w:szCs w:val="1"/>
                <w:color w:val="auto"/>
              </w:rPr>
            </w:pPr>
          </w:p>
        </w:tc>
      </w:tr>
      <w:tr>
        <w:trPr>
          <w:trHeight w:val="187"/>
        </w:trPr>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 30,</w:t>
            </w:r>
          </w:p>
        </w:tc>
        <w:tc>
          <w:tcPr>
            <w:tcW w:w="1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 31,</w:t>
            </w:r>
          </w:p>
        </w:tc>
        <w:tc>
          <w:tcPr>
            <w:tcW w:w="140" w:type="dxa"/>
            <w:vAlign w:val="bottom"/>
          </w:tcPr>
          <w:p>
            <w:pPr>
              <w:spacing w:after="0"/>
              <w:rPr>
                <w:sz w:val="16"/>
                <w:szCs w:val="16"/>
                <w:color w:val="auto"/>
              </w:rPr>
            </w:pPr>
          </w:p>
        </w:tc>
        <w:tc>
          <w:tcPr>
            <w:tcW w:w="1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Balance Sheet Caption</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 31,</w:t>
            </w:r>
          </w:p>
        </w:tc>
        <w:tc>
          <w:tcPr>
            <w:tcW w:w="180" w:type="dxa"/>
            <w:vAlign w:val="bottom"/>
          </w:tcPr>
          <w:p>
            <w:pPr>
              <w:spacing w:after="0"/>
              <w:rPr>
                <w:sz w:val="16"/>
                <w:szCs w:val="16"/>
                <w:color w:val="auto"/>
              </w:rPr>
            </w:pPr>
          </w:p>
        </w:tc>
        <w:tc>
          <w:tcPr>
            <w:tcW w:w="154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Balance Sheet Caption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232</w:t>
            </w:r>
          </w:p>
        </w:tc>
        <w:tc>
          <w:tcPr>
            <w:tcW w:w="14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0"/>
                <w:szCs w:val="10"/>
                <w:color w:val="auto"/>
              </w:rPr>
            </w:pPr>
          </w:p>
        </w:tc>
        <w:tc>
          <w:tcPr>
            <w:tcW w:w="180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Deferred income taxes and</w:t>
            </w:r>
          </w:p>
        </w:tc>
        <w:tc>
          <w:tcPr>
            <w:tcW w:w="16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5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Post-employment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obligations, deferred</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income taxes and other</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color w:val="auto"/>
              </w:rPr>
              <w:t>long-term liabilities</w:t>
            </w:r>
          </w:p>
        </w:tc>
        <w:tc>
          <w:tcPr>
            <w:tcW w:w="0" w:type="dxa"/>
            <w:vAlign w:val="bottom"/>
          </w:tcPr>
          <w:p>
            <w:pPr>
              <w:spacing w:after="0"/>
              <w:rPr>
                <w:sz w:val="1"/>
                <w:szCs w:val="1"/>
                <w:color w:val="auto"/>
              </w:rPr>
            </w:pPr>
          </w:p>
        </w:tc>
      </w:tr>
      <w:tr>
        <w:trPr>
          <w:trHeight w:val="547"/>
        </w:trPr>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110</w:t>
            </w:r>
          </w:p>
        </w:tc>
        <w:tc>
          <w:tcPr>
            <w:tcW w:w="14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1720" w:type="dxa"/>
            <w:vAlign w:val="bottom"/>
            <w:gridSpan w:val="2"/>
          </w:tcPr>
          <w:p>
            <w:pPr>
              <w:ind w:left="180"/>
              <w:spacing w:after="0"/>
              <w:rPr>
                <w:sz w:val="20"/>
                <w:szCs w:val="20"/>
                <w:color w:val="auto"/>
              </w:rPr>
            </w:pPr>
            <w:r>
              <w:rPr>
                <w:rFonts w:ascii="Arial" w:cs="Arial" w:eastAsia="Arial" w:hAnsi="Arial"/>
                <w:sz w:val="14"/>
                <w:szCs w:val="14"/>
                <w:color w:val="auto"/>
              </w:rPr>
              <w:t>Other accrued liabilities</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1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accrued liabilities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546</w:t>
            </w:r>
          </w:p>
        </w:tc>
        <w:tc>
          <w:tcPr>
            <w:tcW w:w="1720" w:type="dxa"/>
            <w:vAlign w:val="bottom"/>
            <w:gridSpan w:val="2"/>
          </w:tcPr>
          <w:p>
            <w:pPr>
              <w:ind w:left="180"/>
              <w:spacing w:after="0"/>
              <w:rPr>
                <w:sz w:val="20"/>
                <w:szCs w:val="20"/>
                <w:color w:val="auto"/>
              </w:rPr>
            </w:pPr>
            <w:r>
              <w:rPr>
                <w:rFonts w:ascii="Arial" w:cs="Arial" w:eastAsia="Arial" w:hAnsi="Arial"/>
                <w:sz w:val="14"/>
                <w:szCs w:val="14"/>
                <w:color w:val="auto"/>
              </w:rPr>
              <w:t>Long-term debt</w:t>
            </w:r>
          </w:p>
        </w:tc>
        <w:tc>
          <w:tcPr>
            <w:tcW w:w="0" w:type="dxa"/>
            <w:vAlign w:val="bottom"/>
          </w:tcPr>
          <w:p>
            <w:pPr>
              <w:spacing w:after="0"/>
              <w:rPr>
                <w:sz w:val="1"/>
                <w:szCs w:val="1"/>
                <w:color w:val="auto"/>
              </w:rPr>
            </w:pPr>
          </w:p>
        </w:tc>
      </w:tr>
      <w:tr>
        <w:trPr>
          <w:trHeight w:val="268"/>
        </w:trPr>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0" w:type="dxa"/>
            <w:vAlign w:val="bottom"/>
            <w:vMerge w:val="restart"/>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6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-805180</wp:posOffset>
            </wp:positionV>
            <wp:extent cx="629221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-427990</wp:posOffset>
            </wp:positionV>
            <wp:extent cx="629221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-1464945</wp:posOffset>
            </wp:positionV>
            <wp:extent cx="629221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160"/>
            <w:col w:w="6500"/>
          </w:cols>
          <w:pgMar w:left="980" w:top="665" w:right="999" w:bottom="993" w:gutter="0" w:footer="0" w:header="0"/>
          <w:type w:val="continuous"/>
        </w:sectPr>
      </w:pP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activity for foreign currency forward exchange contracts designated as cash flow hedges and certain other derivative financial instruments, as well as the amounts and location of income (expense) and gain (loss) reclassified into income for the three and nine months ended September 30,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80"/>
              <w:spacing w:after="0"/>
              <w:rPr>
                <w:sz w:val="20"/>
                <w:szCs w:val="20"/>
                <w:color w:val="auto"/>
              </w:rPr>
            </w:pPr>
            <w:r>
              <w:rPr>
                <w:rFonts w:ascii="Arial" w:cs="Arial" w:eastAsia="Arial" w:hAnsi="Arial"/>
                <w:sz w:val="14"/>
                <w:szCs w:val="14"/>
                <w:b w:val="1"/>
                <w:bCs w:val="1"/>
                <w:color w:val="auto"/>
              </w:rPr>
              <w:t>Gain (loss) Recognized in Other</w:t>
            </w:r>
          </w:p>
        </w:tc>
        <w:tc>
          <w:tcPr>
            <w:tcW w:w="2340" w:type="dxa"/>
            <w:vAlign w:val="bottom"/>
            <w:gridSpan w:val="8"/>
          </w:tcPr>
          <w:p>
            <w:pPr>
              <w:ind w:left="80"/>
              <w:spacing w:after="0"/>
              <w:rPr>
                <w:sz w:val="20"/>
                <w:szCs w:val="20"/>
                <w:color w:val="auto"/>
              </w:rPr>
            </w:pPr>
            <w:r>
              <w:rPr>
                <w:rFonts w:ascii="Arial" w:cs="Arial" w:eastAsia="Arial" w:hAnsi="Arial"/>
                <w:sz w:val="14"/>
                <w:szCs w:val="14"/>
                <w:b w:val="1"/>
                <w:bCs w:val="1"/>
                <w:color w:val="auto"/>
              </w:rPr>
              <w:t>Income (expense) and Gain (loss)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160"/>
              <w:spacing w:after="0"/>
              <w:rPr>
                <w:sz w:val="20"/>
                <w:szCs w:val="20"/>
                <w:color w:val="auto"/>
              </w:rPr>
            </w:pPr>
            <w:r>
              <w:rPr>
                <w:rFonts w:ascii="Arial" w:cs="Arial" w:eastAsia="Arial" w:hAnsi="Arial"/>
                <w:sz w:val="14"/>
                <w:szCs w:val="14"/>
                <w:b w:val="1"/>
                <w:bCs w:val="1"/>
                <w:color w:val="auto"/>
              </w:rPr>
              <w:t>Comprehensive Income (loss)</w:t>
            </w:r>
          </w:p>
        </w:tc>
        <w:tc>
          <w:tcPr>
            <w:tcW w:w="2340" w:type="dxa"/>
            <w:vAlign w:val="bottom"/>
            <w:gridSpan w:val="8"/>
          </w:tcPr>
          <w:p>
            <w:pPr>
              <w:ind w:left="340"/>
              <w:spacing w:after="0"/>
              <w:rPr>
                <w:sz w:val="20"/>
                <w:szCs w:val="20"/>
                <w:color w:val="auto"/>
              </w:rPr>
            </w:pPr>
            <w:r>
              <w:rPr>
                <w:rFonts w:ascii="Arial" w:cs="Arial" w:eastAsia="Arial" w:hAnsi="Arial"/>
                <w:sz w:val="14"/>
                <w:szCs w:val="14"/>
                <w:b w:val="1"/>
                <w:bCs w:val="1"/>
                <w:color w:val="auto"/>
              </w:rPr>
              <w:t>Reclassified into Income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rPr>
              <w:t>Three Months</w:t>
            </w:r>
          </w:p>
        </w:tc>
        <w:tc>
          <w:tcPr>
            <w:tcW w:w="9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Nine Months</w:t>
            </w:r>
          </w:p>
        </w:tc>
        <w:tc>
          <w:tcPr>
            <w:tcW w:w="160" w:type="dxa"/>
            <w:vAlign w:val="bottom"/>
          </w:tcPr>
          <w:p>
            <w:pPr>
              <w:spacing w:after="0"/>
              <w:rPr>
                <w:sz w:val="10"/>
                <w:szCs w:val="10"/>
                <w:color w:val="auto"/>
              </w:rPr>
            </w:pPr>
          </w:p>
        </w:tc>
        <w:tc>
          <w:tcPr>
            <w:tcW w:w="1120" w:type="dxa"/>
            <w:vAlign w:val="bottom"/>
            <w:tcBorders>
              <w:top w:val="single" w:sz="8" w:color="auto"/>
            </w:tcBorders>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Three Months</w:t>
            </w:r>
          </w:p>
        </w:tc>
        <w:tc>
          <w:tcPr>
            <w:tcW w:w="10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Nine Months</w:t>
            </w: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Ended Sept. 30</w:t>
            </w: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Ended Sept. 30</w:t>
            </w: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Ended Sept. 30</w:t>
            </w: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Ended Sept. 30</w:t>
            </w:r>
          </w:p>
        </w:tc>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Income Statement Caption</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Foreign currency forward exchange contracts</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designated as cash flow hedges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$ 99</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(35)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$ 78</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48</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w w:val="89"/>
              </w:rPr>
              <w:t>Debt designated as a hedge of net investment in</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a foreign subsidiary</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rate swaps designated as fair value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hedges</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Losses of $100 million and gains of $49 million were recognized in the three months ended September 30, 2020 and 2019, respectively, related to foreign currency forward exchange contracts not designated as a hedge. Losses of $198 million and gains of $124 million were recognized in the nine months ended September 30, 2020 and 2019, respectively, related to foreign currency forward exchange contracts not designated as a hedge. These amounts are reported in the Condensed Consolidated Statement of Earnings on the Net foreign exchange (gain) loss line.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and fair values of certain financial instruments as of September 30, 2020 and December 31, 2019 are shown in the following table.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December 31, 2019</w:t>
            </w: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5"/>
                <w:szCs w:val="15"/>
                <w:color w:val="auto"/>
              </w:rPr>
            </w:pPr>
          </w:p>
        </w:tc>
      </w:tr>
      <w:tr>
        <w:trPr>
          <w:trHeight w:val="178"/>
        </w:trPr>
        <w:tc>
          <w:tcPr>
            <w:tcW w:w="4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Arial" w:cs="Arial" w:eastAsia="Arial" w:hAnsi="Arial"/>
                <w:sz w:val="18"/>
                <w:szCs w:val="18"/>
                <w:color w:val="auto"/>
              </w:rPr>
              <w:t>Equity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836</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(22,224)</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(17,938)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(20,772)</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00"/>
              <w:spacing w:after="0"/>
              <w:rPr>
                <w:sz w:val="20"/>
                <w:szCs w:val="20"/>
                <w:color w:val="auto"/>
              </w:rPr>
            </w:pPr>
            <w:r>
              <w:rPr>
                <w:rFonts w:ascii="Arial" w:cs="Arial" w:eastAsia="Arial" w:hAnsi="Arial"/>
                <w:sz w:val="18"/>
                <w:szCs w:val="18"/>
                <w:color w:val="auto"/>
              </w:rPr>
              <w:t>Receivable position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(Payable) position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Interest Rate Hedge Contracts: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Receivable position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debt was determined based on significant other observable inputs, including current interest rates.</w:t>
      </w:r>
    </w:p>
    <w:p>
      <w:pPr>
        <w:sectPr>
          <w:pgSz w:w="11900" w:h="16838" w:orient="portrait"/>
          <w:cols w:equalWidth="0" w:num="1">
            <w:col w:w="9920"/>
          </w:cols>
          <w:pgMar w:left="980" w:top="665" w:right="999" w:bottom="9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993"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bases used to measure certain assets and liabilities at fair value on a recurring basis in the balance sheet: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2"/>
              </w:rPr>
              <w:t>Basis of Fair Value Measurement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Quoted</w:t>
            </w: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6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0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derivative financial instruments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hedged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related to business combinations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Interest rate swap derivative financial instruments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Fair value of hedged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2,890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Contingent consideration related to business combinations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foreign currency forward exchange contracts is determined using a market approach, which utilizes values for comparable derivative instruments. The fair value of debt was determined based on the face value of the debt adjusted for the fair value of the interest rate swaps, which is based on a discounted cash flow analysis using significant other observable inputs. The fair value of the contingent consideration was determined based on independent appraisals at the time of acquisition, adjusted for the time value of money and other changes in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11 — Litigation and Environmental Matters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Abbott is involved in various claims and legal proceedings, and Abbott estimates the range of possible loss for its legal proceedings and environmental exposures to be from approximately $85 million to $120 million. The recorded accrual balance at September 30, 2020 for these proceedings and exposures was approximately $105 million. This accrual represents management’s best estimate of probable loss, as defined by FASB ASC No. 450, “Contingencies.” Within the next year, legal proceedings may occur that may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12 — Post-Employment Benefits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plans consist of defined benefit, defined contribution, and medical and dental plans. Net periodic benefit costs, other than service costs, are recognized in the Other (income) expense, net line of the Condensed Consolidated Statement of Earnings. Net cost recognized in continuing operations for the three and nine months ended September 30 for Abbott’s major defined benefit plans and post-employment medical and dental benefit plans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Defined Benefit Plans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3"/>
              </w:rPr>
              <w:t>Medical and Dental Plans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6"/>
          </w:tcPr>
          <w:p>
            <w:pPr>
              <w:jc w:val="right"/>
              <w:ind w:right="380"/>
              <w:spacing w:after="0" w:line="119" w:lineRule="exact"/>
              <w:rPr>
                <w:sz w:val="20"/>
                <w:szCs w:val="20"/>
                <w:color w:val="auto"/>
              </w:rPr>
            </w:pPr>
            <w:r>
              <w:rPr>
                <w:rFonts w:ascii="Arial" w:cs="Arial" w:eastAsia="Arial" w:hAnsi="Arial"/>
                <w:sz w:val="13"/>
                <w:szCs w:val="13"/>
                <w:b w:val="1"/>
                <w:bCs w:val="1"/>
                <w:color w:val="auto"/>
              </w:rPr>
              <w:t>Three Months</w:t>
            </w:r>
          </w:p>
        </w:tc>
        <w:tc>
          <w:tcPr>
            <w:tcW w:w="80" w:type="dxa"/>
            <w:vAlign w:val="bottom"/>
          </w:tcPr>
          <w:p>
            <w:pPr>
              <w:spacing w:after="0"/>
              <w:rPr>
                <w:sz w:val="10"/>
                <w:szCs w:val="10"/>
                <w:color w:val="auto"/>
              </w:rPr>
            </w:pPr>
          </w:p>
        </w:tc>
        <w:tc>
          <w:tcPr>
            <w:tcW w:w="13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jc w:val="right"/>
              <w:ind w:right="380"/>
              <w:spacing w:after="0" w:line="119" w:lineRule="exact"/>
              <w:rPr>
                <w:sz w:val="20"/>
                <w:szCs w:val="20"/>
                <w:color w:val="auto"/>
              </w:rPr>
            </w:pPr>
            <w:r>
              <w:rPr>
                <w:rFonts w:ascii="Arial" w:cs="Arial" w:eastAsia="Arial" w:hAnsi="Arial"/>
                <w:sz w:val="13"/>
                <w:szCs w:val="13"/>
                <w:b w:val="1"/>
                <w:bCs w:val="1"/>
                <w:color w:val="auto"/>
              </w:rPr>
              <w:t>Three Months</w:t>
            </w:r>
          </w:p>
        </w:tc>
        <w:tc>
          <w:tcPr>
            <w:tcW w:w="80" w:type="dxa"/>
            <w:vAlign w:val="bottom"/>
          </w:tcPr>
          <w:p>
            <w:pPr>
              <w:spacing w:after="0"/>
              <w:rPr>
                <w:sz w:val="10"/>
                <w:szCs w:val="10"/>
                <w:color w:val="auto"/>
              </w:rPr>
            </w:pPr>
          </w:p>
        </w:tc>
        <w:tc>
          <w:tcPr>
            <w:tcW w:w="13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Ended September 30</w:t>
            </w:r>
          </w:p>
        </w:tc>
        <w:tc>
          <w:tcPr>
            <w:tcW w:w="8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0"/>
              </w:rPr>
              <w:t>Ended September 30</w:t>
            </w:r>
          </w:p>
        </w:tc>
        <w:tc>
          <w:tcPr>
            <w:tcW w:w="80" w:type="dxa"/>
            <w:vAlign w:val="bottom"/>
          </w:tcPr>
          <w:p>
            <w:pPr>
              <w:spacing w:after="0"/>
              <w:rPr>
                <w:sz w:val="14"/>
                <w:szCs w:val="14"/>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Service cost — benefits earned during the period</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amortization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26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cost - continuing operations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872"/>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61"/>
        </w:trPr>
        <w:tc>
          <w:tcPr>
            <w:tcW w:w="3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Abbott funds its domestic defined benefit plans according to Internal Revenue Service funding limitations. International pension plans are funded according to similar regulations. In the first nine months of 2020 and 2019, $350 million and $337 million, respectively, were contributed to defined benefit plans and $11 million was contributed to the post-employment medical and dental plans in each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 13 — Taxes on Earnings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Taxes on earnings from continuing operations reflect the estimated annual effective rates and include charges for interest and penalties. In the first nine months of 2020, taxes on earnings from continuing operations include approximately $81 million in tax benefits related to the settlement of the former St. Jude Medical consolidated group’s 2014 through 2016 federal income tax returns in the U.S. and $87 million in excess tax benefits associated with share-based compensation. Earnings from discontinued operations, net of tax, in the first nine months of 2020 reflect the recognition of $20 million of net tax benefits primarily as a result of the resolution of various tax positions related to prior years. In the first nine months of 2019, taxes on earnings from continuing operations include a $78 million reduction to the transition tax related to the Tax Cut and Jobs Act (TCJA) and approximately $95 million in excess tax benefits associated with share-based compensation. The $78 million reduction to the transition tax liability was the result of the issuance of final transition tax regulations by the U.S. Department of Treasury in the first quarter of 2019.</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 authorities in various jurisdictions regularly review Abbott’s income tax filings. Abbott believes that it is reasonably possible that the recorded amount of gross unrecognized tax benefits may decrease between $70 million and $410 million, including cash adjustments, within the next twelve months as a result of concluding various domestic and international tax matters. In the U.S., Abbott’s federal income tax returns through 2016 are settled except for the federal income tax returns of the former Alere consolidated group which are settled through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14 — Segment Information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Abbott’s principal business is the discovery, development, manufacture and sale of a broad line of health care products. Abbott’s products are generally sold directly to retailers, wholesalers, hospitals, health care facilities, laboratories, physicians’ offices and government agencies throughout the world.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Abbott’s reportable segments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Established Pharmaceutical Products </w:t>
      </w:r>
      <w:r>
        <w:rPr>
          <w:rFonts w:ascii="Arial" w:cs="Arial" w:eastAsia="Arial" w:hAnsi="Arial"/>
          <w:sz w:val="18"/>
          <w:szCs w:val="18"/>
          <w:color w:val="auto"/>
        </w:rPr>
        <w:t>— International sales of a broad line of branded generic pharmaceutical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Nutritional Products </w:t>
      </w:r>
      <w:r>
        <w:rPr>
          <w:rFonts w:ascii="Arial" w:cs="Arial" w:eastAsia="Arial" w:hAnsi="Arial"/>
          <w:sz w:val="18"/>
          <w:szCs w:val="18"/>
          <w:color w:val="auto"/>
        </w:rPr>
        <w:t>— Worldwide sales of a broad line of adult and pediatric nutritional products.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Diagnostic Products </w:t>
      </w:r>
      <w:r>
        <w:rPr>
          <w:rFonts w:ascii="Arial" w:cs="Arial" w:eastAsia="Arial" w:hAnsi="Arial"/>
          <w:sz w:val="16"/>
          <w:szCs w:val="16"/>
          <w:color w:val="auto"/>
        </w:rPr>
        <w:t>— Worldwide sales of diagnostic systems and tests for blood banks, hospitals, commercial laboratories, physician</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and alternate-care testing sites. For segment reporting purposes, the Core Laboratory Diagnostics, Rapid Diagnostics, Molecular Diagnostics and Point of Care Diagnostics divisions are aggregated and reported as the Diagnostic Products segment.</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Medical Devices </w:t>
      </w:r>
      <w:r>
        <w:rPr>
          <w:rFonts w:ascii="Arial" w:cs="Arial" w:eastAsia="Arial" w:hAnsi="Arial"/>
          <w:sz w:val="16"/>
          <w:szCs w:val="16"/>
          <w:color w:val="auto"/>
        </w:rPr>
        <w:t>— Worldwide sales of rhythm management, electrophysiology, heart failure, vascular, structural heart, neuromodulation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diabetes care products. For segment reporting purposes, the Cardiac Rhythm Management, Electrophysiology and Heart Failure, Vascular, Neuromodulation, Structural Heart and Diabetes Care divisions are aggregated and reported as the Medical Devices segment.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Abbott’s underlying accounting records are maintained on a legal entity basis for government and public reporting requirements. Segment disclosures are on a performance basis consistent with internal management reporting. Intersegment transfers of inventory are recorded at standard cost and are not a measure of segment operating earnings.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Abbott Laboratories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segment information has been prepared in accordance with the internal accounting policies of Abbott, as described above, and is not presented in accordance with generally accepted accounting principles applied to the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10"/>
          </w:tcPr>
          <w:p>
            <w:pPr>
              <w:ind w:left="520"/>
              <w:spacing w:after="0"/>
              <w:rPr>
                <w:sz w:val="20"/>
                <w:szCs w:val="20"/>
                <w:color w:val="auto"/>
              </w:rPr>
            </w:pPr>
            <w:r>
              <w:rPr>
                <w:rFonts w:ascii="Arial" w:cs="Arial" w:eastAsia="Arial" w:hAnsi="Arial"/>
                <w:sz w:val="14"/>
                <w:szCs w:val="14"/>
                <w:b w:val="1"/>
                <w:bCs w:val="1"/>
                <w:color w:val="auto"/>
              </w:rPr>
              <w:t>Net Sales to External Customers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Operating Earnings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Borders>
              <w:top w:val="single" w:sz="8" w:color="auto"/>
            </w:tcBorders>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2"/>
              <w:spacing w:after="0" w:line="119" w:lineRule="exact"/>
              <w:rPr>
                <w:sz w:val="20"/>
                <w:szCs w:val="20"/>
                <w:color w:val="auto"/>
              </w:rPr>
            </w:pPr>
            <w:r>
              <w:rPr>
                <w:rFonts w:ascii="Arial" w:cs="Arial" w:eastAsia="Arial" w:hAnsi="Arial"/>
                <w:sz w:val="13"/>
                <w:szCs w:val="13"/>
                <w:b w:val="1"/>
                <w:bCs w:val="1"/>
                <w:color w:val="auto"/>
              </w:rPr>
              <w:t>Nine Months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Three Months</w:t>
            </w: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5"/>
          </w:tcPr>
          <w:p>
            <w:pPr>
              <w:jc w:val="center"/>
              <w:ind w:right="12"/>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Ended September 30</w:t>
            </w:r>
          </w:p>
        </w:tc>
        <w:tc>
          <w:tcPr>
            <w:tcW w:w="15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Ended September 30</w:t>
            </w:r>
          </w:p>
        </w:tc>
        <w:tc>
          <w:tcPr>
            <w:tcW w:w="100" w:type="dxa"/>
            <w:vAlign w:val="bottom"/>
          </w:tcPr>
          <w:p>
            <w:pPr>
              <w:spacing w:after="0"/>
              <w:rPr>
                <w:sz w:val="14"/>
                <w:szCs w:val="14"/>
                <w:color w:val="auto"/>
              </w:rPr>
            </w:pPr>
          </w:p>
        </w:tc>
        <w:tc>
          <w:tcPr>
            <w:tcW w:w="14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142"/>
        </w:trPr>
        <w:tc>
          <w:tcPr>
            <w:tcW w:w="372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Established Pharmaceutical Products</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Nutritional Products</w:t>
            </w:r>
          </w:p>
        </w:tc>
        <w:tc>
          <w:tcPr>
            <w:tcW w:w="600" w:type="dxa"/>
            <w:vAlign w:val="bottom"/>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Diagnostic 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Medical Devices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Reportable Segments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$ 8,853</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$ 8,076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23,907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23,590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Corporate functions and benefit plan costs</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line="20" w:lineRule="exact"/>
              <w:rPr>
                <w:sz w:val="1"/>
                <w:szCs w:val="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line="20" w:lineRule="exact"/>
              <w:rPr>
                <w:sz w:val="1"/>
                <w:szCs w:val="1"/>
                <w:color w:val="auto"/>
              </w:rPr>
            </w:pPr>
          </w:p>
        </w:tc>
      </w:tr>
      <w:tr>
        <w:trPr>
          <w:trHeight w:val="197"/>
        </w:trPr>
        <w:tc>
          <w:tcPr>
            <w:tcW w:w="372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Share-based compensation (a)</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Other, net (b)</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Earnings from continuing operations before taxes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50 percent of the annual net cost of share-based awards will typically be recognized in the first quarter due to the timing of the granting of share-based awards.</w:t>
      </w:r>
    </w:p>
    <w:p>
      <w:pPr>
        <w:spacing w:after="0" w:line="1" w:lineRule="exact"/>
        <w:rPr>
          <w:rFonts w:ascii="Arial" w:cs="Arial" w:eastAsia="Arial" w:hAnsi="Arial"/>
          <w:sz w:val="18"/>
          <w:szCs w:val="18"/>
          <w:color w:val="auto"/>
        </w:rPr>
      </w:pPr>
    </w:p>
    <w:p>
      <w:pPr>
        <w:jc w:val="both"/>
        <w:ind w:left="340" w:hanging="332"/>
        <w:spacing w:after="0" w:line="295"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net for the three and nine months ended September 30, 2020 and 2019 includes integration costs associated with the acquisition of St. Jude Medical and Alere, and restructuring charges. Other, net for the three and nine months ended September 30, 2020 also includes costs related to asset impairments, partially offset by income from the settlement of litigation. Other, net for the nine months ended September 30, 2019 includes charges associated with R&amp;D assets acquired and immediately expensed.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0"/>
        <w:spacing w:after="0" w:line="422" w:lineRule="auto"/>
        <w:rPr>
          <w:sz w:val="20"/>
          <w:szCs w:val="20"/>
          <w:color w:val="auto"/>
        </w:rPr>
      </w:pPr>
      <w:r>
        <w:rPr>
          <w:rFonts w:ascii="Arial" w:cs="Arial" w:eastAsia="Arial" w:hAnsi="Arial"/>
          <w:sz w:val="18"/>
          <w:szCs w:val="18"/>
          <w:color w:val="auto"/>
        </w:rPr>
        <w:t>Item 2. Management’s Discussion and Analysis of Financial Condition and Results of Operations Financial Review - Results of Operations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Abbott’s revenues are derived primarily from the sale of a broad line of health care products under short-term receivable arrangements. Patent protection and licenses, technological and performance features, and inclusion of Abbott’s products under a contract impact which products are sold; price controls, competition and rebates impact the net selling prices of products; and foreign currency translation impacts the measurement of net sales and costs. Abbott’s primary products are medical devices, diagnostic testing products, nutritional products and branded generic pharmaceuticals.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nine months of 2020, the coronavirus (COVID-19) pandemic affected Abbott’s diversified health care businesses in various ways. As is further described below, some businesses have performed at the levels required to successfully meet new demands, others have faced challenges, and still others have been relatively stable. Beginning in February, cardiovascular and neuromodulation procedures and routine core laboratory diagnostic testing volumes declined in China as that country implemented quarantine restrictions and postponed non-emergency health care activities. As March progressed, procedures and routine testing volumes in China steadily improved from the low levels seen in February.</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COVID-19 spread geographically, the impact initially expanded to certain countries in Asia and Europe beginning in late February, and more broadly across Europe and the U.S. during March and April. As the health care systems in these countries shifted their focus to fighting COVID-19, the impact on cardiovascular and neuromodulation device procedures and routine diagnostic testing volumes was similar to what was experienced in China in February. COVID-19 affected developed markets most significantly in the second quarter and expanded into key emerging markets in the third quarter. As a result, as is further described below, some businesses slowed and sales of cardiovascular and neuromodulation devices and routine diagnostic tests declined during the first nine months of 2020 from the prior year. Encouragingly, routine testing and procedure volume improved across Abbott’s hospital-based businesses as the second quarter progressed and the improvement continued in the third quarter as both demand for procedures and availability of health care resources return to more normal levels.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Abbott mobilized its teams across multiple fronts to develop and launch nine new diagnostic tests for COVID-19:</w:t>
      </w:r>
    </w:p>
    <w:p>
      <w:pPr>
        <w:spacing w:after="0" w:line="252" w:lineRule="exact"/>
        <w:rPr>
          <w:sz w:val="20"/>
          <w:szCs w:val="20"/>
          <w:color w:val="auto"/>
        </w:rPr>
      </w:pPr>
    </w:p>
    <w:p>
      <w:pPr>
        <w:ind w:left="680" w:hanging="321"/>
        <w:spacing w:after="0" w:line="232"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In March, Abbott launched a molecular test on its </w:t>
      </w:r>
      <w:r>
        <w:rPr>
          <w:rFonts w:ascii="Arial" w:cs="Arial" w:eastAsia="Arial" w:hAnsi="Arial"/>
          <w:sz w:val="18"/>
          <w:szCs w:val="18"/>
          <w:i w:val="1"/>
          <w:iCs w:val="1"/>
          <w:color w:val="auto"/>
        </w:rPr>
        <w:t>m</w:t>
      </w:r>
      <w:r>
        <w:rPr>
          <w:rFonts w:ascii="Arial" w:cs="Arial" w:eastAsia="Arial" w:hAnsi="Arial"/>
          <w:sz w:val="18"/>
          <w:szCs w:val="18"/>
          <w:color w:val="auto"/>
        </w:rPr>
        <w:t>2000™ RealTi</w:t>
      </w:r>
      <w:r>
        <w:rPr>
          <w:rFonts w:ascii="Arial" w:cs="Arial" w:eastAsia="Arial" w:hAnsi="Arial"/>
          <w:sz w:val="18"/>
          <w:szCs w:val="18"/>
          <w:i w:val="1"/>
          <w:iCs w:val="1"/>
          <w:color w:val="auto"/>
        </w:rPr>
        <w:t>m</w:t>
      </w:r>
      <w:r>
        <w:rPr>
          <w:rFonts w:ascii="Arial" w:cs="Arial" w:eastAsia="Arial" w:hAnsi="Arial"/>
          <w:sz w:val="18"/>
          <w:szCs w:val="18"/>
          <w:color w:val="auto"/>
        </w:rPr>
        <w:t>e lab-based platform to detect COVID-19 pursuant to an Emergency Use Authorization (EUA) in the U.S. and CE Mark.</w:t>
      </w:r>
    </w:p>
    <w:p>
      <w:pPr>
        <w:spacing w:after="0" w:line="1" w:lineRule="exact"/>
        <w:rPr>
          <w:rFonts w:ascii="Arial" w:cs="Arial" w:eastAsia="Arial" w:hAnsi="Arial"/>
          <w:sz w:val="22"/>
          <w:szCs w:val="22"/>
          <w:color w:val="auto"/>
        </w:rPr>
      </w:pPr>
    </w:p>
    <w:p>
      <w:pPr>
        <w:ind w:left="680" w:right="20" w:hanging="321"/>
        <w:spacing w:after="0" w:line="225"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March, Abbott also launched a molecular test to detect COVID-19 on its ID NOW™ rapid point-of-care platform in the U.S. pursuant to an EUA.</w:t>
      </w:r>
    </w:p>
    <w:p>
      <w:pPr>
        <w:jc w:val="both"/>
        <w:ind w:left="680" w:hanging="321"/>
        <w:spacing w:after="0" w:line="193"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April, Abbott launched an IgG (Immunoglobulin G) lab-based serology blood test on its ARCHITECT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i1000SR and i2000SR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laboratory instruments for the detection of an antibody to determine if someone was previously infected with the virus. The serology test was granted an EUA in the U.S. and CE Mark in April 2020.</w:t>
      </w:r>
    </w:p>
    <w:p>
      <w:pPr>
        <w:ind w:left="680" w:hanging="321"/>
        <w:spacing w:after="0" w:line="222"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16"/>
          <w:szCs w:val="16"/>
          <w:color w:val="auto"/>
        </w:rPr>
        <w:t>In May, Abbott launched a lab-based serology blood test on its Alinity</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 system pursuant to an EUA in the U.S. and CE Mark.</w:t>
      </w:r>
    </w:p>
    <w:p>
      <w:pPr>
        <w:ind w:left="680" w:right="20" w:hanging="321"/>
        <w:spacing w:after="0" w:line="224"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May, Abbott also launched a molecular test on its Alinity m system to detect COVID-19 pursuant to an EUA in the U.S. Abbott received CE Mark for this test in June 2020.</w:t>
      </w:r>
    </w:p>
    <w:p>
      <w:pPr>
        <w:spacing w:after="0" w:line="1" w:lineRule="exact"/>
        <w:rPr>
          <w:rFonts w:ascii="Arial" w:cs="Arial" w:eastAsia="Arial" w:hAnsi="Arial"/>
          <w:sz w:val="22"/>
          <w:szCs w:val="22"/>
          <w:color w:val="auto"/>
        </w:rPr>
      </w:pPr>
    </w:p>
    <w:p>
      <w:pPr>
        <w:ind w:left="680" w:hanging="321"/>
        <w:spacing w:after="0" w:line="225"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June, Abbott launched a lateral flow COVID-19 rapid antibody test on its Panbio™ system in select countries. This serology test detects an antibody to determine if someone was previously infected with the virus.</w:t>
      </w:r>
    </w:p>
    <w:p>
      <w:pPr>
        <w:jc w:val="both"/>
        <w:ind w:left="680" w:hanging="321"/>
        <w:spacing w:after="0" w:line="233"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August, Abbott launched its AdviseDx SARS-CoV-2 IgM (Immunoglobulin M) lab-based serology test for use on its ARCHITECT and Alinity platforms pursuant to a CE Mark. Abbott was granted an EUA in the U.S. for this test in October 2020.</w:t>
      </w:r>
    </w:p>
    <w:p>
      <w:pPr>
        <w:ind w:left="680" w:right="20" w:hanging="321"/>
        <w:spacing w:after="0" w:line="225"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August, Abbott launched its BinaxNOW™ COVID-19 Ag Card test, a portable, lateral flow rapid test to detect COVID-19 pursuant to an EUA in the U.S.</w:t>
      </w:r>
    </w:p>
    <w:p>
      <w:pPr>
        <w:ind w:left="680" w:hanging="321"/>
        <w:spacing w:after="0" w:line="225" w:lineRule="auto"/>
        <w:tabs>
          <w:tab w:leader="none" w:pos="6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September, Abbott launched its Panbio rapid antigen test to detect COVID-19 pursuant to a CE Mark. In October, Abbott received approval by the World Health Organization for emergency use listing for the Panbio antigen test.</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nine months of 2020, Abbott’s COVID-19 testing related sales totaled $1.533 billion, of which $881 million was generated in the third quarter of 2020.</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Abbott is continually implementing business continuity plans in the face of the pandemic. Due to the critical nature of its products and services, Abbott was generally exempt from governmental orders issued during the first quarter of 2020 in the U.S. and other countries requiring businesses to cease operations. The majority of its office-based work was conducted remotely during the period of such governmental orders and the company implemented strict travel restrictions. As some governmental orders were lifted in May and June 2020, Abbott entered a new phase in its operations whereby some office-based employees started working at Abbott’s offices on a rotational basis. Abbott has taken aggressive steps to limit exposure and enhance the safety of facilities for its employees.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Abbott’s financial position, at September 30, 2020, Abbott’s cash and cash equivalents and short-term investments totaled approximately $4.7 billion compared to $4.1 billion at December 31, 2019. Existing credit agreements are in place that would provide additional access to $5 billion, if needed.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unpredictability of the duration and impact of the current COVID-19 pandemic, the extent to which the COVID-19 pandemic may have a material effect on its business, financial condition or results of operations is uncertain.</w:t>
      </w:r>
    </w:p>
    <w:p>
      <w:pPr>
        <w:sectPr>
          <w:pgSz w:w="11900" w:h="16838" w:orient="portrait"/>
          <w:cols w:equalWidth="0" w:num="1">
            <w:col w:w="9920"/>
          </w:cols>
          <w:pgMar w:left="980" w:top="665" w:right="999" w:bottom="92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925"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sales by reportable segment for the three and nine months ended September 30. Percent changes are versus the prior year and are based on unrounded numbers.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jc w:val="right"/>
              <w:ind w:right="780"/>
              <w:spacing w:after="0"/>
              <w:rPr>
                <w:sz w:val="20"/>
                <w:szCs w:val="20"/>
                <w:color w:val="auto"/>
              </w:rPr>
            </w:pPr>
            <w:r>
              <w:rPr>
                <w:rFonts w:ascii="Arial" w:cs="Arial" w:eastAsia="Arial" w:hAnsi="Arial"/>
                <w:sz w:val="14"/>
                <w:szCs w:val="14"/>
                <w:b w:val="1"/>
                <w:bCs w:val="1"/>
                <w:color w:val="auto"/>
              </w:rPr>
              <w:t>Net Sales to External Customers</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Impact of</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Foreign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Excl. Foreign</w:t>
            </w:r>
          </w:p>
        </w:tc>
        <w:tc>
          <w:tcPr>
            <w:tcW w:w="0" w:type="dxa"/>
            <w:vAlign w:val="bottom"/>
          </w:tcPr>
          <w:p>
            <w:pPr>
              <w:spacing w:after="0"/>
              <w:rPr>
                <w:sz w:val="1"/>
                <w:szCs w:val="1"/>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Established Pharmaceutical Products</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Nutritional Products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1,874</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Diagnostic Products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Medical Devices</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0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Reportable Segments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U.S.</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3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4"/>
                <w:szCs w:val="14"/>
                <w:b w:val="1"/>
                <w:bCs w:val="1"/>
                <w:color w:val="auto"/>
                <w:w w:val="92"/>
              </w:rPr>
              <w:t>Net Sales to External Customers</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Impact of</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Total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Foreign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Excl. Foreign</w:t>
            </w:r>
          </w:p>
        </w:tc>
        <w:tc>
          <w:tcPr>
            <w:tcW w:w="0" w:type="dxa"/>
            <w:vAlign w:val="bottom"/>
          </w:tcPr>
          <w:p>
            <w:pPr>
              <w:spacing w:after="0"/>
              <w:rPr>
                <w:sz w:val="1"/>
                <w:szCs w:val="1"/>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Established Pharmaceutical Products</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3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Nutritional Products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5,541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Diagnostic Products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Medical Devices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9,035</w:t>
            </w:r>
          </w:p>
        </w:tc>
        <w:tc>
          <w:tcPr>
            <w:tcW w:w="1260" w:type="dxa"/>
            <w:vAlign w:val="bottom"/>
            <w:gridSpan w:val="6"/>
          </w:tcPr>
          <w:p>
            <w:pPr>
              <w:jc w:val="right"/>
              <w:ind w:right="200"/>
              <w:spacing w:after="0"/>
              <w:rPr>
                <w:sz w:val="20"/>
                <w:szCs w:val="20"/>
                <w:color w:val="auto"/>
              </w:rPr>
            </w:pPr>
            <w:r>
              <w:rPr>
                <w:rFonts w:ascii="Arial" w:cs="Arial" w:eastAsia="Arial" w:hAnsi="Arial"/>
                <w:sz w:val="18"/>
                <w:szCs w:val="18"/>
                <w:color w:val="auto"/>
              </w:rPr>
              <w:t>(5.6)</w:t>
            </w: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Reportable Segments</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8"/>
                <w:szCs w:val="18"/>
                <w:color w:val="auto"/>
              </w:rPr>
              <w:t>(0.2)</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U.S.</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3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International</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w:t>
            </w:r>
          </w:p>
        </w:tc>
        <w:tc>
          <w:tcPr>
            <w:tcW w:w="3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12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Note: 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10.6 percent increase in total net sales in the third quarter of 2020, excluding the impact of foreign exchange, was primarily driven by an increase in the Diagnostics segment as a result of demand for Abbott’s portfolio of COVID-19 diagnostics tests on its lab-based immunoassay and molecular diagnostics systems and point-of-care rapid testing platforms. Abbott’s net sales were unfavorably impacted by changes in foreign exchange rates during the period compared to the third quarter of 2019. The relatively stronger U.S. dollar decreased total international sales by 1.6 percent and total sales by 1.0 percent in the third quarter of 2020.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3.2 percent increase in total net sales during the first nine months of 2020, excluding the impact of foreign exchange, was driven by increases in the Diagnostics and Nutritional Products segments, partially offset by a decrease in the Medical Devices segment due to reduced procedure volumes as a result of the pandemic. Abbott’s net sales were unfavorably impacted by changes in foreign exchange rates in the first nine months of 2020 as the relatively stronger U.S. dollar decreased total international sales by 2.8 percent and total sales by 1.9 percent.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provides detail by sales category for the nine months ended September 30. Percent changes are versus the prior year and are based on unrounded numbers.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Impact of</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Excl. Foreign</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Exchange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Established Pharmaceutical Products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Key Emerging Markets</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Emerging Markets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Nutritionals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International Pediatric Nutritionals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Pediatric Nutritionals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International Adult Nutritionals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Adult Nutritionals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Diagnostics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Core Laboratory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Molecular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Point of Care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Rapid Diagnostics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Medical Devices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Rhythm Management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Electrophysiology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Heart Failure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Vascular (a)</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Structural Heart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Neuromodulation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Diabetes Care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 Vascular Product Lines: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Coronary and Endovascular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Key Emerging Markets for the Established Pharmaceutical Products business include India, Russia, Brazil and China, along with several other markets that represent the most attractive long-term growth opportunities for Abbott’s branded generics product portfolio. Excluding the unfavorable effect of foreign exchange, sales in the Key Emerging Markets increased 3.2 percent compared to the first nine months of 2019 led primarily by growth in China and various countries in Asia and Latin America. The nine-month growth rate was negatively impacted by lower demand in the second and third quarters of 2020 due to the spread of COVID-19 across emerging market countries. Other Emerging Markets, excluding the effect of foreign exchange, decreased by 4.3 percent in the first nine months of 2020.</w:t>
      </w:r>
    </w:p>
    <w:p>
      <w:pPr>
        <w:spacing w:after="0" w:line="222"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International Pediatric Nutritional sales, excluding the effect of foreign exchange, decreased 2.7 percent in the first nine months of 2020 versus the comparable 2019 period. Growth across Abbott’s pediatric products in various countries in Southeast Asia was more than offset by challenging market dynamics in the Greater China infant category. U.S. Pediatric Nutritional sales increased 5.9 percent primarily due to increased demand for Pedialyte</w:t>
      </w:r>
      <w:r>
        <w:rPr>
          <w:rFonts w:ascii="Arial" w:cs="Arial" w:eastAsia="Arial" w:hAnsi="Arial"/>
          <w:sz w:val="25"/>
          <w:szCs w:val="25"/>
          <w:color w:val="auto"/>
          <w:vertAlign w:val="superscript"/>
        </w:rPr>
        <w:t>®</w:t>
      </w:r>
      <w:r>
        <w:rPr>
          <w:rFonts w:ascii="Arial" w:cs="Arial" w:eastAsia="Arial" w:hAnsi="Arial"/>
          <w:sz w:val="17"/>
          <w:szCs w:val="17"/>
          <w:color w:val="auto"/>
        </w:rPr>
        <w:t>, Abbott’s oral rehydration brand, and Pediasure</w:t>
      </w:r>
      <w:r>
        <w:rPr>
          <w:rFonts w:ascii="Arial" w:cs="Arial" w:eastAsia="Arial" w:hAnsi="Arial"/>
          <w:sz w:val="25"/>
          <w:szCs w:val="25"/>
          <w:color w:val="auto"/>
          <w:vertAlign w:val="superscript"/>
        </w:rPr>
        <w:t>®</w:t>
      </w:r>
      <w:r>
        <w:rPr>
          <w:rFonts w:ascii="Arial" w:cs="Arial" w:eastAsia="Arial" w:hAnsi="Arial"/>
          <w:sz w:val="17"/>
          <w:szCs w:val="17"/>
          <w:color w:val="auto"/>
        </w:rPr>
        <w:t>. The 13.0 percent increase in International Adult Nutritional sales, excluding the effect of foreign exchange, reflects continued growth of the Ensure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Glucerna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brands in several countries. U.S. Adult Nutritional sales increased 3.7 percent due to growth in Ensure.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the Diagnostics segment, Core Laboratory sales decreased 5.7 percent, excluding the effect of foreign exchange, as the lower volume of routine testing performed in hospital and other laboratories due to COVID-19 was partially offset by sales of Abbott’s COVID-19 laboratory-based tests for the detection of the IgG and IgM antibodies, which determine if someone was previously infected with the virus. Core Laboratory antibody testing-related sales on Abbott’s ARCHITECT and Alinity i platforms were $212 million in the first nine months of 2020. The 196.2 percent increase in Molecular Diagnostics sales, excluding the effect of foreign exchange, reflects higher volumes due to demand for Abbott’s laboratory-based molecular tests for COVID-19 on its </w:t>
      </w:r>
      <w:r>
        <w:rPr>
          <w:rFonts w:ascii="Arial" w:cs="Arial" w:eastAsia="Arial" w:hAnsi="Arial"/>
          <w:sz w:val="17"/>
          <w:szCs w:val="17"/>
          <w:i w:val="1"/>
          <w:iCs w:val="1"/>
          <w:color w:val="auto"/>
        </w:rPr>
        <w:t>m</w:t>
      </w:r>
      <w:r>
        <w:rPr>
          <w:rFonts w:ascii="Arial" w:cs="Arial" w:eastAsia="Arial" w:hAnsi="Arial"/>
          <w:sz w:val="17"/>
          <w:szCs w:val="17"/>
          <w:color w:val="auto"/>
        </w:rPr>
        <w:t>2000 and Alinity m platforms. Molecular Diagnostics COVID-19 testing-related sales were $672 million in the first nine months of 2020.</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Rapid Diagnostics, sales increased 31.9 percent, excluding the effect of foreign exchange, due to strong demand for Abbott’s point-of-care COVID-19 molecular test on its ID NOW platform and its BinaxNOW COVID-19 Ag Card test in the U.S. as well as international demand for COVID-19 rapid tests on its Panbio system and increased testing in the first quarter for the flu in the U.S. These increases were partially offset by the unfavorable impact of COVID-19 on routine diagnostic testing. Rapid Diagnostics COVID-19 testing-related sales were $649 million in the first nine months of 2020.</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Excluding the effect of foreign exchange, total Medical Devices sales decreased 5.0 percent; the decrease was driven by the impact of COVID-19 on Abbott’s cardiovascular and neuromodulation businesses, partially offset by double-digit growth in Diabetes Care. Growth in Diabetes Care sales was driven by continued growth of FreeStyle Libre</w:t>
      </w:r>
      <w:r>
        <w:rPr>
          <w:rFonts w:ascii="Arial" w:cs="Arial" w:eastAsia="Arial" w:hAnsi="Arial"/>
          <w:sz w:val="26"/>
          <w:szCs w:val="26"/>
          <w:color w:val="auto"/>
          <w:vertAlign w:val="superscript"/>
        </w:rPr>
        <w:t>®</w:t>
      </w:r>
      <w:r>
        <w:rPr>
          <w:rFonts w:ascii="Arial" w:cs="Arial" w:eastAsia="Arial" w:hAnsi="Arial"/>
          <w:sz w:val="18"/>
          <w:szCs w:val="18"/>
          <w:color w:val="auto"/>
        </w:rPr>
        <w:t>, Abbott’s continuous glucose monitoring system, internationally and in the U.S. FreeStyle Libre sales totaled $1.880 billion in the first nine months of 2020, which reflected a 44.8 percent increase, excluding the effect of foreign exchange, over the first nine months of 2019 when FreeStyle Libre sales totaled $1.308 billion.</w:t>
      </w:r>
    </w:p>
    <w:p>
      <w:pPr>
        <w:spacing w:after="0" w:line="2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June, Abbott announced U.S. Food and Drug Administration (FDA) clearance of FreeStyle Libre 2 as an integrated continuous glucose monitoring (iCGM) system for adults and children ages 4 and older with diabetes. In September, Abbott obtained CE Mark for</w:t>
      </w:r>
    </w:p>
    <w:p>
      <w:pPr>
        <w:sectPr>
          <w:pgSz w:w="11900" w:h="16956" w:orient="portrait"/>
          <w:cols w:equalWidth="0" w:num="1">
            <w:col w:w="9920"/>
          </w:cols>
          <w:pgMar w:left="980" w:top="665" w:right="999" w:bottom="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its FreeStyle Libre 3 system, which automatically delivers real time, up-to-the-minute glucose readings, 14-day accuracy and real-time glucose alarms. Abbott also obtained CE Mark for its Libre Sense™ Glucose Sport Biosensor in Europe. Libre Sense is a consumer over-the-counter product that provides continuous glucose monitoring for athletes to better understand the efficacy of their nutrition choices on training and athletic performance.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Abbott’s cardiovascular and neuromodulation businesses, revenues during the first nine months of 2020 were negatively impacted by reduced procedure volumes due to COVID-19. Procedure volume trends improved over the course of the second and third quarters as both demand for procedures and availability of healthcare resources return to more normal levels. In April, Abbott announced CE Mark approval for its TriClip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heart valve repair system, the world’s first minimally invasive, clip-based tricuspid heart valve repair device. In July, Abbott announced U.S. FDA approval of its next-generation Gallant™ implantable cardioverter defibrillator and cardiac resynchronization therapy defibrillator devices to help manage heart rhythm disorders. These devices offer Bluetooth technology and a new patient smartphone app for improved remote monitoring and enhanced patient-physician engagement. In September, Abbott obtained CE Mark for MitraClip</w:t>
      </w:r>
      <w:r>
        <w:rPr>
          <w:rFonts w:ascii="Arial" w:cs="Arial" w:eastAsia="Arial" w:hAnsi="Arial"/>
          <w:sz w:val="25"/>
          <w:szCs w:val="25"/>
          <w:color w:val="auto"/>
          <w:vertAlign w:val="superscript"/>
        </w:rPr>
        <w:t>®</w:t>
      </w:r>
      <w:r>
        <w:rPr>
          <w:rFonts w:ascii="Arial" w:cs="Arial" w:eastAsia="Arial" w:hAnsi="Arial"/>
          <w:sz w:val="17"/>
          <w:szCs w:val="17"/>
          <w:color w:val="auto"/>
        </w:rPr>
        <w:t xml:space="preserve"> G4, its next-generation MitraClip mitral valve repair device.</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2017, Abbott received a warning letter from the U.S. FDA related to its manufacturing facility in Sylmar, CA which was acquired by Abbott on January 4, 2017 as part of the acquisition of St. Jude Medical. This facility manufactures implantable cardioverter defibrillators, cardiac resynchronization therapy defibrillators, and monitors. Abbott prepared and executed a comprehensive plan of corrective actions. On April 28, 2020, Abbott received a letter from the FDA indicating that, based on the FDA’s evaluation, it appeared that Abbott had addressed the items in the warning letter. As a result, the warning letter is considered closed.</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gross profit margin percentage was 49.4 percent for the third quarter of 2020 compared to 52.4 percent for the third quarter of 2019. The gross profit margin percentage was 49.2 percent for the first nine months of 2020 compared to 52.3 percent for the first nine months of 2019. The decreases in the gross profit margin percentage primarily reflect the mix of sales across Abbott’s various businesses and operational inefficiencies due to the impact of COVID-19, as well as the increase in intangible asset amortization, the impairment of an intangible asset and the unfavorable effect of foreign exchange on gross margin in 2020.</w:t>
      </w:r>
    </w:p>
    <w:p>
      <w:pPr>
        <w:spacing w:after="0" w:line="20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Research and development (R&amp;D) expenses decreased $16 million, or 2.8 percent, in the third quarter of 2020 and decreased $123 million, or 6.7 percent, in the first nine months of 2020 compared to the prior year. The decrease in the third quarter of 2020 primarily reflects lower integration and restructuring costs in 2020 related to R&amp;D. The decrease in R&amp;D spending in the first nine months of 2020 primarily reflects the immediate expensing in the first quarter of 2019 of an R&amp;D asset valued at $102 million in conjunction with the acquisition of Cephea Valve Technologies, Inc. The decrease in R&amp;D expense during the first nine months of 2020 also reflects the favorable effect of foreign exchange in 2020. For the nine months ended September 30, 2020, research and development expenditures totaled $921 million for the Medical Devices segment, $419 million for the Diagnostic Products segment, $137 million for the Nutritional Products segment and $127 million for the Established Pharmaceutical Products segment.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decreased 5.7 percent in the third quarter and decreased 3.1 percent in the first nine months of 2020. The decreases in the quarter and the first nine months of 2020 are due to income of $100 million from a litigation settlement in 2020, the favorable effect of foreign exchange, lower spending due to COVID-19 mobility restrictions, and the impact of various cost saving initiatives, partially offset by higher spending to drive growth in various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Plans</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results for the first nine months of 2020 reflect charges under approved restructuring plans as part of the integration of the acquisitions of St. Jude Medical and Alere or as part of various cost reduction programs. Abbott recorded employee related severance and other charges of $42 million in the first nine months of 2020 related to these initiatives, of which $7 million is recognized in Cost of products sold, $2 million is recognized in Research and development and $33 million is recognized in SG&amp;A. See Note 7 to the financial statements, “Restructuring Plans,” for additional information regarding these charges.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totaled $46 million of income in the third quarter of 2020 compared to $55 million of income in 2019 and $25 million of income in the first nine months of 2020 compared to $140 million of income in 2019. The change in Other (income) expense, net for the first nine months of 2020 primarily reflects equity investment impairments that totaled approximately $110 million in the first nine months of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decreased $16 million in the third quarter of 2020 and $64 million in the first nine months of 2020 due to a reduction in interest expense resulting from the favorable impact of the euro debt financing in November of 2019, the repayment of debt in December 2019 and a lower interest rate environment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on Earnings from Continuing Operations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Taxes on earnings from continuing operations reflect the estimated annual effective rates and include charges for interest and penalties. In the first nine months of 2020, taxes on earnings from continuing operations include approximately $81 million in tax benefits related to the settlement of the former St. Jude Medical consolidated group’s 2014 through 2016 federal income tax returns in the U.S. and $87 million in excess tax benefits associated with share-based compensation. Earnings from discontinued operations, net of tax, in the first nine months of 2020 reflect the recognition of $20 million of net tax benefits primarily as a result of the resolution of various tax positions related to prior years. In the first nine months of 2019, taxes on earnings from continuing operations include a $78 million reduction to the transition tax related to the Tax Cut and Jobs Act (TCJA) and approximately $95 million in excess tax benefits associated with share-based compensation. The $78 million reduction to the transition tax liability was the result of the issuance of final transition tax regulations by the U.S. Department of Treasury in the first quarter of 2019.</w:t>
      </w:r>
    </w:p>
    <w:p>
      <w:pPr>
        <w:sectPr>
          <w:pgSz w:w="11900" w:h="16838" w:orient="portrait"/>
          <w:cols w:equalWidth="0" w:num="1">
            <w:col w:w="9920"/>
          </w:cols>
          <w:pgMar w:left="980" w:top="665" w:right="999" w:bottom="102"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Tax authorities in various jurisdictions regularly review Abbott’s income tax filings. Abbott believes that it is reasonably possible that the recorded amount of gross unrecognized tax benefits may decrease between $70 million and $410 million, including cash adjustments, within the next twelve months as a result of concluding various domestic and international tax matters. In the U.S., Abbott's federal income tax returns through 2016 are settled except for the federal income tax returns of the former Alere consolidated group which are settled through 2015.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September 30, 2020 Compared with December 31,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28, 2020, Abbott repaid the €1.140 billion outstanding principal amount of its 0.00% Notes due 2020 upon maturity. The debt repayment, which equated to approximately $1.3 billion, was primarily funded by the net proceeds from the issuance on June 24, 2020 of $1.3 billion aggregate principal amount of senior notes. The June 2020 issuance consisted of $650 million of 1.15% Notes due 2028 and $650 million of 1.40% Notes due 2030.</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$620 million increase in cash and cash equivalents from $3.9 billion at December 31, 2019 to $4.5 billion at September 30, 2020 primarily reflects the favorable impact of cash generated by operating activities, partially offset by the payment of dividends and capital expenditures. Working capital was $7.1 billion at September 30, 2020 and $4.8 billion at December 31, 2019. The $2.3 billion increase was due in large part to the higher level of cash and cash equivalents noted above, as well as an increase in inventory related to shifting demand dynamics and higher accounts receivable balances due to higher levels of sales.</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Condensed Consolidated Statement of Cash Flows, Net cash from operating activities for the first nine months of 2020 totaled $4.1 billion, an increase of $383 million over the prior year due primarily to lower payments related to integration expenses, restructuring actions and interest, the proceeds from a litigation settlement payment and timing for various accrued expenses, partially offset by an increased investment in working capital. Other, net in Net cash from operating activities for the first nine months of 2020 was a source of $42 million and includes the impact of non-cash impairment charges related to intangible assets and equity investments and the payment timing for various accrued expenses partially offset by the impact of the payment of cash taxes of approximately $700 million and $350 million of pension contributions. Other, net in Net cash from operating activities for the first nine months of 2019 was a use of $523 million and includes the payment of cash taxes of approximately $775 million and $337 million of pension contributions, partially offset by payment timing for various accrued expenses. Abbott expects to fund cash dividends, capital expenditures and its other investments in its businesses with cash flow from operating activities, cash on hand, short-term investments and borrowings.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2019, the board of directors authorized the early redemption of up to $5 billion of outstanding long-term notes. This bond redemption authorization superseded the board’s previous authorization under which $700 million had not yet been redeemed. In December 2019, Abbott redeemed $2.850 billion of debt. After this redemption, $2.15 billion of the $5 billion debt redemption authorization remains available.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Abbott’s long-term debt rating was A- by Standard &amp; Poor’s Corporation and A3 by Moody’s Investors Service. Abbott expects to maintain an investment grade rating. Abbott has readily available financial resources, including lines of credit of $5.0 billion which expire in 2023.</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board of directors authorized the repurchase of up to $3 billion of Abbott’s common shares from time to time. This authorization is in addition to the $270 million unused portion of the share repurchase program authorized in 2014.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27, 2016, the board of directors authorized the issuance and sale for general corporate purposes of up to 75 million common shares that would result in proceeds of up to $3 billion. No shares have been issued under this authorization.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of the first three quarters of 2020, Abbott declared a quarterly dividend of $0.36 per share on its common shares, which represents an increase of approximately 12.5 percent over the $0.32 per share quarterly dividend declared in each of the first three quarters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w:t>
      </w:r>
      <w:r>
        <w:rPr>
          <w:rFonts w:ascii="Arial" w:cs="Arial" w:eastAsia="Arial" w:hAnsi="Arial"/>
          <w:sz w:val="18"/>
          <w:szCs w:val="18"/>
          <w:color w:val="auto"/>
        </w:rPr>
        <w:t>, which changes the methodology to be used to measure credit losses for certain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including trade receivables. The new methodology requires the recognition of an allowance that reflects the current estimate of credit losses expected to be incurred over the life of the financial asset. Abbott adopted the standard on January 1, 2020 and recorded a cumulative adjustment that was not significant to Earnings employed in the business in the Condensed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 Not Yet Adopted</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among other things, eliminates certain exceptions in the current rules regarding the approach for intraperiod tax allocations and the methodology for calculating income taxes in an interim period, and clarifies the accounting for transactions that result in a step-up in the tax basis of goodwill. The standard becomes effective for Abbott in the first quarter of 2021 and early adoption is permitted. Abbott does not expect adoption of this new standard to have a material impact on its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Legislative Issues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Abbott’s primary markets are highly competitive and subject to substantial government regulations throughout the world. Abbott expects debate to continue over the availability, method of delivery, and payment for health care products and services. It is not possible to predict the extent to which Abbott or the health care industry in general might be adversely affected by these factors in the future. A more complete discussion of these factors is contained in Item 1, Business, and Item 1A, Risk Factors, in the 2019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Securities Litigation Reform Act of 1995 — A Caution Concerning Forward-Looking Statements</w:t>
      </w:r>
    </w:p>
    <w:p>
      <w:pPr>
        <w:sectPr>
          <w:pgSz w:w="11900" w:h="16838" w:orient="portrait"/>
          <w:cols w:equalWidth="0" w:num="1">
            <w:col w:w="9920"/>
          </w:cols>
          <w:pgMar w:left="980" w:top="665" w:right="999" w:bottom="173"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7"/>
          <w:szCs w:val="17"/>
          <w:color w:val="auto"/>
        </w:rPr>
        <w:t>Under the safe harbor provisions of the Private Securities Litigation Reform Act of 1995, Abbott cautions that any forward-looking statements made by Abbott are subject to risks and uncertainties, including the impact of the COVID-19 pandemic on Abbott's operations and financial results, that may cause actual results to differ materially from those indicated in the forward-looking statements. Economic, competitive, governmental, technological and other factors that may affect Abbott's operations are discussed in Item 1A, "Risk Factors'', in the 2019 Annual Report on Form 10-K and in Item 1A, “Risk Factors”, in the Quarterly Report on Form 10-Q for the quarter ended March 31, 2020. Abbott undertakes no obligation to release publicly any revisions to forward-looking statements as a result of subsequent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7"/>
          <w:szCs w:val="17"/>
          <w:color w:val="auto"/>
        </w:rPr>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The President and Chief Executive Officer, Robert B. Ford,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Robert E. Funck, Jr., 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Securities and Exchange Commission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spacing w:after="0" w:line="180" w:lineRule="exact"/>
        <w:rPr>
          <w:rFonts w:ascii="Arial" w:cs="Arial" w:eastAsia="Arial" w:hAnsi="Arial"/>
          <w:sz w:val="17"/>
          <w:szCs w:val="17"/>
          <w:color w:val="auto"/>
        </w:rPr>
      </w:pPr>
    </w:p>
    <w:p>
      <w:pPr>
        <w:jc w:val="both"/>
        <w:ind w:left="680" w:hanging="321"/>
        <w:spacing w:after="0" w:line="286" w:lineRule="auto"/>
        <w:tabs>
          <w:tab w:leader="none" w:pos="68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September 30, 2020, there were no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Abbott’s internal control over financial reporting (as defined in Rule 13a-15(f) under the Exchange Act) that have materially affected, or are reasonably likely to materially affect, Abbott’s internal control over financial reporting.</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Abbott is involved in various claims, legal proceedings and investigations, including those described in our Annual Report on Form 10-K for the year ended December 31, 2019.</w:t>
      </w:r>
    </w:p>
    <w:p>
      <w:pPr>
        <w:spacing w:after="0" w:line="1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Issuer Purchases of Equity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auto"/>
                <w:w w:val="97"/>
              </w:rPr>
              <w:t>(d) Maximum</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 Total Number</w:t>
            </w:r>
          </w:p>
        </w:tc>
        <w:tc>
          <w:tcPr>
            <w:tcW w:w="20" w:type="dxa"/>
            <w:vAlign w:val="bottom"/>
          </w:tcPr>
          <w:p>
            <w:pPr>
              <w:spacing w:after="0"/>
              <w:rPr>
                <w:sz w:val="12"/>
                <w:szCs w:val="12"/>
                <w:color w:val="auto"/>
              </w:rPr>
            </w:pPr>
          </w:p>
        </w:tc>
        <w:tc>
          <w:tcPr>
            <w:tcW w:w="13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Shares (or</w:t>
            </w:r>
          </w:p>
        </w:tc>
        <w:tc>
          <w:tcPr>
            <w:tcW w:w="20" w:type="dxa"/>
            <w:vAlign w:val="bottom"/>
          </w:tcPr>
          <w:p>
            <w:pPr>
              <w:spacing w:after="0"/>
              <w:rPr>
                <w:sz w:val="12"/>
                <w:szCs w:val="12"/>
                <w:color w:val="auto"/>
              </w:rPr>
            </w:pPr>
          </w:p>
        </w:tc>
        <w:tc>
          <w:tcPr>
            <w:tcW w:w="13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(b) Average</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Units) Purchased</w:t>
            </w:r>
          </w:p>
        </w:tc>
        <w:tc>
          <w:tcPr>
            <w:tcW w:w="20" w:type="dxa"/>
            <w:vAlign w:val="bottom"/>
          </w:tcPr>
          <w:p>
            <w:pPr>
              <w:spacing w:after="0"/>
              <w:rPr>
                <w:sz w:val="12"/>
                <w:szCs w:val="12"/>
                <w:color w:val="auto"/>
              </w:rPr>
            </w:pPr>
          </w:p>
        </w:tc>
        <w:tc>
          <w:tcPr>
            <w:tcW w:w="13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as Part of</w:t>
            </w:r>
          </w:p>
        </w:tc>
        <w:tc>
          <w:tcPr>
            <w:tcW w:w="20" w:type="dxa"/>
            <w:vAlign w:val="bottom"/>
          </w:tcPr>
          <w:p>
            <w:pPr>
              <w:spacing w:after="0"/>
              <w:rPr>
                <w:sz w:val="12"/>
                <w:szCs w:val="12"/>
                <w:color w:val="auto"/>
              </w:rPr>
            </w:pPr>
          </w:p>
        </w:tc>
        <w:tc>
          <w:tcPr>
            <w:tcW w:w="13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Paid per</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Publicly</w:t>
            </w:r>
          </w:p>
        </w:tc>
        <w:tc>
          <w:tcPr>
            <w:tcW w:w="20" w:type="dxa"/>
            <w:vAlign w:val="bottom"/>
          </w:tcPr>
          <w:p>
            <w:pPr>
              <w:spacing w:after="0"/>
              <w:rPr>
                <w:sz w:val="12"/>
                <w:szCs w:val="12"/>
                <w:color w:val="auto"/>
              </w:rPr>
            </w:pPr>
          </w:p>
        </w:tc>
        <w:tc>
          <w:tcPr>
            <w:tcW w:w="13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 (or</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13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540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Unit)</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20" w:type="dxa"/>
            <w:vAlign w:val="bottom"/>
          </w:tcPr>
          <w:p>
            <w:pPr>
              <w:spacing w:after="0"/>
              <w:rPr>
                <w:sz w:val="14"/>
                <w:szCs w:val="14"/>
                <w:color w:val="auto"/>
              </w:rPr>
            </w:pPr>
          </w:p>
        </w:tc>
        <w:tc>
          <w:tcPr>
            <w:tcW w:w="138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 2020 - July 31, 2020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5"/>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$ 3,270,234,923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August 1, 2020 - August 31, 2020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3"/>
                <w:szCs w:val="13"/>
                <w:color w:val="auto"/>
                <w:w w:val="75"/>
              </w:rPr>
              <w:t>(1)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400" w:type="dxa"/>
            <w:vAlign w:val="bottom"/>
            <w:gridSpan w:val="3"/>
          </w:tcPr>
          <w:p>
            <w:pPr>
              <w:jc w:val="right"/>
              <w:spacing w:after="0" w:line="216" w:lineRule="exact"/>
              <w:rPr>
                <w:sz w:val="20"/>
                <w:szCs w:val="20"/>
                <w:color w:val="auto"/>
              </w:rPr>
            </w:pPr>
            <w:r>
              <w:rPr>
                <w:rFonts w:ascii="Arial" w:cs="Arial" w:eastAsia="Arial" w:hAnsi="Arial"/>
                <w:sz w:val="17"/>
                <w:szCs w:val="17"/>
                <w:color w:val="auto"/>
              </w:rPr>
              <w:t xml:space="preserve">3,270,234,923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2020 - September 30,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5"/>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line="216" w:lineRule="exact"/>
              <w:rPr>
                <w:sz w:val="20"/>
                <w:szCs w:val="20"/>
                <w:color w:val="auto"/>
              </w:rPr>
            </w:pPr>
            <w:r>
              <w:rPr>
                <w:rFonts w:ascii="Arial" w:cs="Arial" w:eastAsia="Arial" w:hAnsi="Arial"/>
                <w:sz w:val="17"/>
                <w:szCs w:val="17"/>
                <w:color w:val="auto"/>
              </w:rPr>
              <w:t xml:space="preserve">3,270,234,923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10"/>
        </w:trPr>
        <w:tc>
          <w:tcPr>
            <w:tcW w:w="5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28,423</w:t>
            </w:r>
          </w:p>
        </w:tc>
        <w:tc>
          <w:tcPr>
            <w:tcW w:w="160" w:type="dxa"/>
            <w:vAlign w:val="bottom"/>
          </w:tcPr>
          <w:p>
            <w:pPr>
              <w:jc w:val="right"/>
              <w:spacing w:after="0"/>
              <w:rPr>
                <w:sz w:val="20"/>
                <w:szCs w:val="20"/>
                <w:color w:val="auto"/>
              </w:rPr>
            </w:pPr>
            <w:r>
              <w:rPr>
                <w:rFonts w:ascii="Arial" w:cs="Arial" w:eastAsia="Arial" w:hAnsi="Arial"/>
                <w:sz w:val="13"/>
                <w:szCs w:val="13"/>
                <w:color w:val="auto"/>
                <w:w w:val="75"/>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r>
              <w:rPr>
                <w:rFonts w:ascii="Arial" w:cs="Arial" w:eastAsia="Arial" w:hAnsi="Arial"/>
                <w:sz w:val="18"/>
                <w:szCs w:val="18"/>
                <w:u w:val="single" w:color="auto"/>
                <w:color w:val="auto"/>
              </w:rPr>
              <w:t>47</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$ 3,270,234,923</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77" w:lineRule="auto"/>
        <w:tabs>
          <w:tab w:leader="none" w:pos="3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include the shares deemed surrendered to Abbott to pay the exercise price in connection with the exercise of employee stock options – 0 in July, 0 in August, and 28,423 in September.</w:t>
      </w:r>
    </w:p>
    <w:p>
      <w:pPr>
        <w:spacing w:after="0" w:line="170"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These shares do not include the shares surrendered to Abbott to satisfy tax withholding obligations in connection with the vesting of restricted stock or restricted stock units.</w:t>
      </w:r>
    </w:p>
    <w:p>
      <w:pPr>
        <w:spacing w:after="0" w:line="170" w:lineRule="exact"/>
        <w:rPr>
          <w:rFonts w:ascii="Arial" w:cs="Arial" w:eastAsia="Arial" w:hAnsi="Arial"/>
          <w:sz w:val="18"/>
          <w:szCs w:val="18"/>
          <w:color w:val="auto"/>
        </w:rPr>
      </w:pPr>
    </w:p>
    <w:p>
      <w:pPr>
        <w:jc w:val="both"/>
        <w:ind w:left="340" w:hanging="332"/>
        <w:spacing w:after="0" w:line="311" w:lineRule="auto"/>
        <w:tabs>
          <w:tab w:leader="none" w:pos="35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September 11, 2014, the board of directors authorized the repurchase of up to $3 billion of Abbott common shares, from time to time (the “2014 Plan”). On October 11, 2019, the board of directors authorized the repurchase of up to $3 billion of Abbott common shares, from time to time (the “2019 Plan”). The 2019 Plan is in addition to the unused portion of the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760" w:type="dxa"/>
            <w:vAlign w:val="bottom"/>
          </w:tcPr>
          <w:p>
            <w:pPr>
              <w:ind w:left="4160"/>
              <w:spacing w:after="0"/>
              <w:rPr>
                <w:sz w:val="20"/>
                <w:szCs w:val="20"/>
                <w:color w:val="auto"/>
              </w:rPr>
            </w:pPr>
            <w:r>
              <w:rPr>
                <w:rFonts w:ascii="Arial" w:cs="Arial" w:eastAsia="Arial" w:hAnsi="Arial"/>
                <w:sz w:val="14"/>
                <w:szCs w:val="14"/>
                <w:b w:val="1"/>
                <w:bCs w:val="1"/>
                <w:color w:val="auto"/>
              </w:rPr>
              <w:t>Exhibit</w:t>
            </w: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8760" w:type="dxa"/>
            <w:vAlign w:val="bottom"/>
            <w:tcBorders>
              <w:top w:val="single" w:sz="8" w:color="auto"/>
            </w:tcBorders>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Certification of Chief Executive Officer Required by Rule 13a-14(a) (17 CFR 240.13a-14(a)).</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87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Financial Officer Required by Rule 13a-14(a) (17 CFR 240.13a-14(a)).</w:t>
              </w:r>
            </w:hyperlink>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Exhibits 32.1 and 32.2 are furnished herewith and should not be deemed to be “filed” under the Securities Exchange Act of 1934.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32.1</w:t>
            </w:r>
          </w:p>
        </w:tc>
        <w:tc>
          <w:tcPr>
            <w:tcW w:w="8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Pursuant to 18 U.S.C. Section 1350, as Adopted Pursuant to Section 906 of the</w:t>
              </w:r>
            </w:hyperlink>
          </w:p>
        </w:tc>
      </w:tr>
      <w:tr>
        <w:trPr>
          <w:trHeight w:val="196"/>
        </w:trPr>
        <w:tc>
          <w:tcPr>
            <w:tcW w:w="116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Sarbanes-Oxley Act of 2002.</w:t>
              </w:r>
            </w:hyperlink>
          </w:p>
        </w:tc>
        <w:tc>
          <w:tcPr>
            <w:tcW w:w="6500" w:type="dxa"/>
            <w:vAlign w:val="bottom"/>
            <w:gridSpan w:val="2"/>
          </w:tcPr>
          <w:p>
            <w:pPr>
              <w:spacing w:after="0"/>
              <w:rPr>
                <w:sz w:val="17"/>
                <w:szCs w:val="17"/>
                <w:color w:val="auto"/>
              </w:rPr>
            </w:pPr>
          </w:p>
        </w:tc>
      </w:tr>
      <w:tr>
        <w:trPr>
          <w:trHeight w:val="412"/>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32.2</w:t>
            </w:r>
          </w:p>
        </w:tc>
        <w:tc>
          <w:tcPr>
            <w:tcW w:w="8600" w:type="dxa"/>
            <w:vAlign w:val="bottom"/>
            <w:gridSpan w:val="3"/>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Pursuant to 18 U.S.C. Section 1350, as Adopted Pursuant to Section 906 of the</w:t>
              </w:r>
            </w:hyperlink>
          </w:p>
        </w:tc>
      </w:tr>
      <w:tr>
        <w:trPr>
          <w:trHeight w:val="196"/>
        </w:trPr>
        <w:tc>
          <w:tcPr>
            <w:tcW w:w="116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Sarbanes-Oxley Act of 2002.</w:t>
              </w:r>
            </w:hyperlink>
          </w:p>
        </w:tc>
        <w:tc>
          <w:tcPr>
            <w:tcW w:w="64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29" w:lineRule="exact"/>
        <w:rPr>
          <w:sz w:val="20"/>
          <w:szCs w:val="20"/>
          <w:color w:val="auto"/>
        </w:rPr>
      </w:pPr>
    </w:p>
    <w:p>
      <w:pPr>
        <w:ind w:left="1160" w:right="20" w:hanging="1151"/>
        <w:spacing w:after="0" w:line="275"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financial statements and notes from the Abbott Laboratories Quarterly Report on Form 10-Q for the quarter and nine months ended September 30, 2020, formatted in Inline XBRL: (i) Condensed Consolidated Statement of Earnings; (ii) Condensed Consolidated Statement of Comprehensive Income; (iii) Condensed Consolidated Balance Sheet; (iv) Condensed Consolidated Statement of Shareholders’ Investment; (v) Condensed Consolidated Statement of Cash Flows; and (vi) Notes to the Condensed Consolidated Financial Statements.</w:t>
      </w:r>
    </w:p>
    <w:p>
      <w:pPr>
        <w:spacing w:after="0" w:line="203" w:lineRule="exact"/>
        <w:rPr>
          <w:sz w:val="20"/>
          <w:szCs w:val="20"/>
          <w:color w:val="auto"/>
        </w:rPr>
      </w:pPr>
    </w:p>
    <w:p>
      <w:pPr>
        <w:ind w:left="1160" w:right="180" w:hanging="1151"/>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ABBOTT LABORATORIES</w:t>
      </w:r>
    </w:p>
    <w:p>
      <w:pPr>
        <w:spacing w:after="0" w:line="200" w:lineRule="exact"/>
        <w:rPr>
          <w:sz w:val="20"/>
          <w:szCs w:val="20"/>
          <w:color w:val="auto"/>
        </w:rPr>
      </w:pP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E. Funck,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854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E. Funck, Jr.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Finance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Chief Financial Officer</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November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 Ford, certify that:</w:t>
      </w:r>
    </w:p>
    <w:p>
      <w:pPr>
        <w:spacing w:after="0" w:line="22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Abbott Laboratories;</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7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0" w:hanging="324"/>
        <w:spacing w:after="0" w:line="263" w:lineRule="auto"/>
        <w:tabs>
          <w:tab w:leader="none" w:pos="976"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263" w:lineRule="auto"/>
        <w:tabs>
          <w:tab w:leader="none" w:pos="98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83" w:lineRule="exact"/>
        <w:rPr>
          <w:rFonts w:ascii="Arial" w:cs="Arial" w:eastAsia="Arial" w:hAnsi="Arial"/>
          <w:sz w:val="18"/>
          <w:szCs w:val="18"/>
          <w:color w:val="auto"/>
        </w:rPr>
      </w:pPr>
    </w:p>
    <w:p>
      <w:pPr>
        <w:ind w:left="660" w:right="420" w:hanging="652"/>
        <w:spacing w:after="0" w:line="277"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70" w:lineRule="exact"/>
        <w:rPr>
          <w:rFonts w:ascii="Arial" w:cs="Arial" w:eastAsia="Arial" w:hAnsi="Arial"/>
          <w:sz w:val="18"/>
          <w:szCs w:val="18"/>
          <w:color w:val="auto"/>
        </w:rPr>
      </w:pPr>
    </w:p>
    <w:p>
      <w:pPr>
        <w:ind w:left="980" w:right="220" w:hanging="324"/>
        <w:spacing w:after="0" w:line="263" w:lineRule="auto"/>
        <w:tabs>
          <w:tab w:leader="none" w:pos="96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83" w:lineRule="exact"/>
        <w:rPr>
          <w:rFonts w:ascii="Arial" w:cs="Arial" w:eastAsia="Arial" w:hAnsi="Arial"/>
          <w:sz w:val="18"/>
          <w:szCs w:val="18"/>
          <w:color w:val="auto"/>
        </w:rPr>
      </w:pPr>
    </w:p>
    <w:p>
      <w:pPr>
        <w:ind w:left="980" w:right="180" w:hanging="324"/>
        <w:spacing w:after="0" w:line="277" w:lineRule="auto"/>
        <w:tabs>
          <w:tab w:leader="none" w:pos="97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Abbott’s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Date: November 4, 2020</w:t>
            </w: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Ford</w:t>
            </w:r>
          </w:p>
        </w:tc>
      </w:tr>
      <w:tr>
        <w:trPr>
          <w:trHeight w:val="195"/>
        </w:trPr>
        <w:tc>
          <w:tcPr>
            <w:tcW w:w="4500" w:type="dxa"/>
            <w:vAlign w:val="bottom"/>
          </w:tcPr>
          <w:p>
            <w:pPr>
              <w:spacing w:after="0"/>
              <w:rPr>
                <w:sz w:val="16"/>
                <w:szCs w:val="16"/>
                <w:color w:val="auto"/>
              </w:rPr>
            </w:pPr>
          </w:p>
        </w:tc>
        <w:tc>
          <w:tcPr>
            <w:tcW w:w="5420" w:type="dxa"/>
            <w:vAlign w:val="bottom"/>
          </w:tcPr>
          <w:p>
            <w:pPr>
              <w:spacing w:after="0" w:line="195" w:lineRule="exact"/>
              <w:rPr>
                <w:sz w:val="20"/>
                <w:szCs w:val="20"/>
                <w:color w:val="auto"/>
              </w:rPr>
            </w:pPr>
            <w:r>
              <w:rPr>
                <w:rFonts w:ascii="Arial" w:cs="Arial" w:eastAsia="Arial" w:hAnsi="Arial"/>
                <w:sz w:val="18"/>
                <w:szCs w:val="18"/>
                <w:color w:val="auto"/>
              </w:rPr>
              <w:t>Robert B. Ford</w:t>
            </w:r>
          </w:p>
        </w:tc>
      </w:tr>
      <w:tr>
        <w:trPr>
          <w:trHeight w:val="230"/>
        </w:trPr>
        <w:tc>
          <w:tcPr>
            <w:tcW w:w="45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776"/>
        </w:trPr>
        <w:tc>
          <w:tcPr>
            <w:tcW w:w="4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E. Funck, Jr., certify that:</w:t>
      </w:r>
    </w:p>
    <w:p>
      <w:pPr>
        <w:spacing w:after="0" w:line="22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Abbott Laboratories;</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76"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6"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0" w:hanging="324"/>
        <w:spacing w:after="0" w:line="263"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263" w:lineRule="auto"/>
        <w:tabs>
          <w:tab w:leader="none" w:pos="98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spacing w:after="0" w:line="183" w:lineRule="exact"/>
        <w:rPr>
          <w:rFonts w:ascii="Arial" w:cs="Arial" w:eastAsia="Arial" w:hAnsi="Arial"/>
          <w:sz w:val="18"/>
          <w:szCs w:val="18"/>
          <w:color w:val="auto"/>
        </w:rPr>
      </w:pPr>
    </w:p>
    <w:p>
      <w:pPr>
        <w:ind w:left="660" w:right="420" w:hanging="652"/>
        <w:spacing w:after="0" w:line="277"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Abbott’s other certifying officer and I have disclosed, based on our most recent evaluation of internal control over financial reporting, to Abbott’s auditors and the audit committee of Abbott’s board of directors:</w:t>
      </w:r>
    </w:p>
    <w:p>
      <w:pPr>
        <w:spacing w:after="0" w:line="170" w:lineRule="exact"/>
        <w:rPr>
          <w:rFonts w:ascii="Arial" w:cs="Arial" w:eastAsia="Arial" w:hAnsi="Arial"/>
          <w:sz w:val="18"/>
          <w:szCs w:val="18"/>
          <w:color w:val="auto"/>
        </w:rPr>
      </w:pPr>
    </w:p>
    <w:p>
      <w:pPr>
        <w:ind w:left="980" w:right="220" w:hanging="324"/>
        <w:spacing w:after="0" w:line="263" w:lineRule="auto"/>
        <w:tabs>
          <w:tab w:leader="none" w:pos="9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Abbott’s ability to record, process, summarize and report financial information; and</w:t>
      </w:r>
    </w:p>
    <w:p>
      <w:pPr>
        <w:spacing w:after="0" w:line="183" w:lineRule="exact"/>
        <w:rPr>
          <w:rFonts w:ascii="Arial" w:cs="Arial" w:eastAsia="Arial" w:hAnsi="Arial"/>
          <w:sz w:val="18"/>
          <w:szCs w:val="18"/>
          <w:color w:val="auto"/>
        </w:rPr>
      </w:pPr>
    </w:p>
    <w:p>
      <w:pPr>
        <w:ind w:left="980" w:right="180" w:hanging="324"/>
        <w:spacing w:after="0" w:line="27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Abbott’s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November 4,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Funck, Jr.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Robert E. Funck, Jr.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Finance</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In connection with the Quarterly Report of Abbott Laboratories (the “Company”) on Form 10-Q for the period ended September 30, 2020 as filed with the Securities and Exchange Commission (the “Report”), I, Robert B. Ford, President and Chief Executive Officer of the Company, certify, pursuant to 18 U.S.C. § 1350, as adopted pursuant to §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Robert B.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B.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Quarterly Report of Abbott Laboratories (the “Company”) on Form 10-Q for the period ended September 30, 2020 as filed with the Securities and Exchange Commission (the “Report”), I, Robert E. Funck, Jr., Executive Vice President, Finance and Chief Financial Officer of the Company, certify, pursuant to 18 U.S.C. § 1350, as adopted pursuant to §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Robert E. Funck,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E. Funck,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2020</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Abbott Laboratories and will be retained by Abbott Laboratories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lvl w:ilvl="1">
      <w:lvlJc w:val="left"/>
      <w:lvlText w:val="(%2)"/>
      <w:numFmt w:val="lowerLetter"/>
      <w:start w:val="2"/>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2020-11-04T15:28:32Z</dcterms:created>
  <dcterms:modified xsi:type="dcterms:W3CDTF">2020-11-04T15:28:32Z</dcterms:modified>
</cp:coreProperties>
</file>