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left"/>
        <w:rPr/>
      </w:pPr>
      <w:hyperlink w:anchor="if454735e94df41c3a44babbae82e9fc7_7">
        <w:r>
          <w:rPr>
            <w:rStyle w:val="InternetLink"/>
            <w:rFonts w:ascii="Times New Roman;serif" w:hAnsi="Times New Roman;serif"/>
            <w:b w:val="false"/>
            <w:color w:val="0000FF"/>
            <w:sz w:val="20"/>
            <w:u w:val="single"/>
          </w:rPr>
          <w:t>Table of Contents</w:t>
        </w:r>
      </w:hyperlink>
    </w:p>
    <w:p>
      <w:pPr>
        <w:pStyle w:val="TextBody"/>
        <w:bidi w:val="0"/>
        <w:spacing w:before="24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color w:val="000000"/>
                <w:sz w:val="24"/>
              </w:rPr>
            </w:pPr>
            <w:r>
              <w:rPr>
                <w:rFonts w:ascii="Wingdings;sans-serif" w:hAnsi="Wingdings;sans-serif"/>
                <w:b/>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March 31, 2026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Commission File No. 1-2189</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ABBOTT LABORATORIES</w:t>
      </w:r>
    </w:p>
    <w:tbl>
      <w:tblPr>
        <w:tblW w:w="5130" w:type="dxa"/>
        <w:jc w:val="left"/>
        <w:tblInd w:w="0" w:type="dxa"/>
        <w:tblLayout w:type="fixed"/>
        <w:tblCellMar>
          <w:top w:w="28" w:type="dxa"/>
          <w:left w:w="28" w:type="dxa"/>
          <w:bottom w:w="28" w:type="dxa"/>
          <w:right w:w="28" w:type="dxa"/>
        </w:tblCellMar>
      </w:tblPr>
      <w:tblGrid>
        <w:gridCol w:w="767"/>
        <w:gridCol w:w="672"/>
        <w:gridCol w:w="676"/>
        <w:gridCol w:w="883"/>
        <w:gridCol w:w="883"/>
        <w:gridCol w:w="1249"/>
      </w:tblGrid>
      <w:tr>
        <w:trPr/>
        <w:tc>
          <w:tcPr>
            <w:tcW w:w="7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Illinois Corporation</w:t>
            </w:r>
          </w:p>
        </w:tc>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36-0698440</w:t>
            </w:r>
          </w:p>
        </w:tc>
      </w:tr>
    </w:tbl>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100 Abbott Park Road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Abbott Park, Illinois 60064-6400</w:t>
      </w:r>
    </w:p>
    <w:p>
      <w:pPr>
        <w:pStyle w:val="TextBody"/>
        <w:bidi w:val="0"/>
        <w:spacing w:lineRule="auto" w:line="288" w:before="120" w:after="283"/>
        <w:jc w:val="center"/>
        <w:rPr/>
      </w:pPr>
      <w:r>
        <w:rPr>
          <w:rFonts w:ascii="Times New Roman;serif" w:hAnsi="Times New Roman;serif"/>
          <w:b w:val="false"/>
          <w:color w:val="000000"/>
          <w:sz w:val="20"/>
        </w:rPr>
        <w:t xml:space="preserve">Telephone: </w:t>
      </w:r>
      <w:r>
        <w:rPr>
          <w:rFonts w:ascii="Times New Roman;serif" w:hAnsi="Times New Roman;serif"/>
          <w:b/>
          <w:color w:val="000000"/>
          <w:sz w:val="20"/>
        </w:rPr>
        <w:t>(224) 667-6100</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7948" w:type="dxa"/>
        <w:jc w:val="left"/>
        <w:tblInd w:w="0" w:type="dxa"/>
        <w:tblLayout w:type="fixed"/>
        <w:tblCellMar>
          <w:top w:w="28" w:type="dxa"/>
          <w:left w:w="28" w:type="dxa"/>
          <w:bottom w:w="28" w:type="dxa"/>
          <w:right w:w="28" w:type="dxa"/>
        </w:tblCellMar>
      </w:tblPr>
      <w:tblGrid>
        <w:gridCol w:w="1093"/>
        <w:gridCol w:w="965"/>
        <w:gridCol w:w="971"/>
        <w:gridCol w:w="484"/>
        <w:gridCol w:w="484"/>
        <w:gridCol w:w="486"/>
        <w:gridCol w:w="1014"/>
        <w:gridCol w:w="1014"/>
        <w:gridCol w:w="1437"/>
      </w:tblGrid>
      <w:tr>
        <w:trPr/>
        <w:tc>
          <w:tcPr>
            <w:tcW w:w="109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op w:val="doub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465" w:type="dxa"/>
            <w:gridSpan w:val="3"/>
            <w:tcBorders>
              <w:top w:val="doub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02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Without Par Value</w:t>
            </w:r>
          </w:p>
        </w:tc>
        <w:tc>
          <w:tcPr>
            <w:tcW w:w="1454" w:type="dxa"/>
            <w:gridSpan w:val="3"/>
            <w:tcBorders>
              <w:top w:val="single" w:sz="8" w:space="0" w:color="000000"/>
              <w:left w:val="single" w:sz="8" w:space="0" w:color="000000"/>
              <w:bottom w:val="doub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ABT</w:t>
            </w:r>
          </w:p>
        </w:tc>
        <w:tc>
          <w:tcPr>
            <w:tcW w:w="3465" w:type="dxa"/>
            <w:gridSpan w:val="3"/>
            <w:tcBorders>
              <w:top w:val="single" w:sz="8" w:space="0" w:color="000000"/>
              <w:left w:val="single" w:sz="8" w:space="0" w:color="000000"/>
              <w:bottom w:val="doub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NYSE Texas</w:t>
            </w:r>
          </w:p>
        </w:tc>
      </w:tr>
    </w:tbl>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(l) has filed all reports required to be filed by Section 13 or 15(d) of the Securities Exchange Act of l934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229.405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44" w:type="dxa"/>
        <w:jc w:val="left"/>
        <w:tblInd w:w="0" w:type="dxa"/>
        <w:tblLayout w:type="fixed"/>
        <w:tblCellMar>
          <w:top w:w="28" w:type="dxa"/>
          <w:left w:w="28" w:type="dxa"/>
          <w:bottom w:w="28" w:type="dxa"/>
          <w:right w:w="28" w:type="dxa"/>
        </w:tblCellMar>
      </w:tblPr>
      <w:tblGrid>
        <w:gridCol w:w="819"/>
        <w:gridCol w:w="721"/>
        <w:gridCol w:w="725"/>
        <w:gridCol w:w="754"/>
        <w:gridCol w:w="754"/>
        <w:gridCol w:w="1071"/>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Large Accelerated Filer </w:t>
            </w:r>
            <w:r>
              <w:rPr>
                <w:rFonts w:ascii="Wingdings;sans-serif" w:hAnsi="Wingdings;sans-serif"/>
                <w:b w:val="false"/>
                <w:color w:val="000000"/>
                <w:sz w:val="20"/>
              </w:rPr>
              <w:t>x</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Accelerated Filer </w:t>
            </w:r>
            <w:r>
              <w:rPr>
                <w:rFonts w:ascii="Wingdings;sans-serif" w:hAnsi="Wingdings;sans-serif"/>
                <w:b w:val="false"/>
                <w:color w:val="000000"/>
                <w:sz w:val="20"/>
              </w:rPr>
              <w:t>o</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Non-Accelerated Filer </w:t>
            </w:r>
            <w:r>
              <w:rPr>
                <w:rFonts w:ascii="Wingdings;sans-serif" w:hAnsi="Wingdings;sans-serif"/>
                <w:b w:val="false"/>
                <w:color w:val="000000"/>
                <w:sz w:val="20"/>
              </w:rPr>
              <w:t>o</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Smaller reporting company </w:t>
            </w:r>
            <w:r>
              <w:rPr>
                <w:rFonts w:ascii="Wingdings;sans-serif" w:hAnsi="Wingdings;sans-serif"/>
                <w:b w:val="false"/>
                <w:color w:val="000000"/>
                <w:sz w:val="20"/>
              </w:rPr>
              <w:t>o</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tc>
      </w:tr>
    </w:tbl>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March 31, 2026, Abbott Laboratories had 1,741,812,429 common shares without par value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80060"/>
                <wp:effectExtent l="0" t="0" r="0" b="0"/>
                <wp:wrapNone/>
                <wp:docPr id="1"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6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600"/>
                        <w:jc w:val="center"/>
                        <w:rPr/>
                      </w:pPr>
                      <w:r>
                        <w:rPr/>
                      </w:r>
                    </w:p>
                  </w:txbxContent>
                </v:textbox>
                <w10:wrap type="none"/>
              </v:rect>
            </w:pict>
          </mc:Fallback>
        </mc:AlternateContent>
      </w:r>
    </w:p>
    <w:p>
      <w:pPr>
        <w:pStyle w:val="TextBody"/>
        <w:bidi w:val="0"/>
        <w:spacing w:lineRule="auto" w:line="288" w:before="240" w:after="283"/>
        <w:jc w:val="left"/>
        <w:rPr/>
      </w:pPr>
      <w:hyperlink w:anchor="if454735e94df41c3a44babbae82e9fc7_7">
        <w:r>
          <w:rPr>
            <w:rStyle w:val="InternetLink"/>
            <w:rFonts w:ascii="Times New Roman;serif" w:hAnsi="Times New Roman;serif"/>
            <w:b w:val="false"/>
            <w:color w:val="0000FF"/>
            <w:sz w:val="20"/>
            <w:u w:val="single"/>
          </w:rPr>
          <w:t>Table of Contents</w:t>
        </w:r>
      </w:hyperlink>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Abbott Laboratories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Table of Contents</w:t>
      </w:r>
    </w:p>
    <w:tbl>
      <w:tblPr>
        <w:tblW w:w="8520" w:type="dxa"/>
        <w:jc w:val="left"/>
        <w:tblInd w:w="0" w:type="dxa"/>
        <w:tblLayout w:type="fixed"/>
        <w:tblCellMar>
          <w:top w:w="28" w:type="dxa"/>
          <w:left w:w="28" w:type="dxa"/>
          <w:bottom w:w="28" w:type="dxa"/>
          <w:right w:w="28" w:type="dxa"/>
        </w:tblCellMar>
      </w:tblPr>
      <w:tblGrid>
        <w:gridCol w:w="2893"/>
        <w:gridCol w:w="2540"/>
        <w:gridCol w:w="2546"/>
        <w:gridCol w:w="158"/>
        <w:gridCol w:w="158"/>
        <w:gridCol w:w="225"/>
      </w:tblGrid>
      <w:tr>
        <w:trPr/>
        <w:tc>
          <w:tcPr>
            <w:tcW w:w="2893"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54735e94df41c3a44babbae82e9fc7_10">
              <w:r>
                <w:rPr>
                  <w:rStyle w:val="InternetLink"/>
                  <w:rFonts w:ascii="Times New Roman;serif" w:hAnsi="Times New Roman;serif"/>
                  <w:b/>
                  <w:color w:val="0000FF"/>
                  <w:sz w:val="20"/>
                  <w:u w:val="single"/>
                </w:rPr>
                <w:t>Part I - Financial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54735e94df41c3a44babbae82e9fc7_13">
              <w:r>
                <w:rPr>
                  <w:rStyle w:val="InternetLink"/>
                  <w:rFonts w:ascii="Times New Roman;serif" w:hAnsi="Times New Roman;serif"/>
                  <w:b w:val="false"/>
                  <w:color w:val="0000FF"/>
                  <w:sz w:val="20"/>
                  <w:u w:val="single"/>
                </w:rPr>
                <w:t>Item 1. Financial Statements and Supplementary Data</w:t>
              </w:r>
            </w:hyperlink>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54735e94df41c3a44babbae82e9fc7_16">
              <w:r>
                <w:rPr>
                  <w:rStyle w:val="InternetLink"/>
                  <w:rFonts w:ascii="Times New Roman;serif" w:hAnsi="Times New Roman;serif"/>
                  <w:b w:val="false"/>
                  <w:color w:val="0000FF"/>
                  <w:sz w:val="20"/>
                  <w:u w:val="single"/>
                </w:rPr>
                <w:t>Condensed Consolidated Statement of Earnings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54735e94df41c3a44babbae82e9fc7_16">
              <w:r>
                <w:rPr>
                  <w:rStyle w:val="InternetLink"/>
                  <w:rFonts w:ascii="Times New Roman;serif" w:hAnsi="Times New Roman;serif"/>
                  <w:b w:val="false"/>
                  <w:strike w:val="false"/>
                  <w:dstrike w:val="false"/>
                  <w:color w:val="000000"/>
                  <w:sz w:val="20"/>
                  <w:u w:val="none"/>
                  <w:effect w:val="none"/>
                </w:rPr>
                <w:t>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54735e94df41c3a44babbae82e9fc7_19">
              <w:r>
                <w:rPr>
                  <w:rStyle w:val="InternetLink"/>
                  <w:rFonts w:ascii="Times New Roman;serif" w:hAnsi="Times New Roman;serif"/>
                  <w:b w:val="false"/>
                  <w:color w:val="0000FF"/>
                  <w:sz w:val="20"/>
                  <w:u w:val="single"/>
                </w:rPr>
                <w:t>Condensed Consolidated Statement of Comprehensive Income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54735e94df41c3a44babbae82e9fc7_19">
              <w:r>
                <w:rPr>
                  <w:rStyle w:val="InternetLink"/>
                  <w:rFonts w:ascii="Times New Roman;serif" w:hAnsi="Times New Roman;serif"/>
                  <w:b w:val="false"/>
                  <w:strike w:val="false"/>
                  <w:dstrike w:val="false"/>
                  <w:color w:val="000000"/>
                  <w:sz w:val="20"/>
                  <w:u w:val="none"/>
                  <w:effect w:val="none"/>
                </w:rPr>
                <w:t>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54735e94df41c3a44babbae82e9fc7_22">
              <w:r>
                <w:rPr>
                  <w:rStyle w:val="InternetLink"/>
                  <w:rFonts w:ascii="Times New Roman;serif" w:hAnsi="Times New Roman;serif"/>
                  <w:b w:val="false"/>
                  <w:color w:val="0000FF"/>
                  <w:sz w:val="20"/>
                  <w:u w:val="single"/>
                </w:rPr>
                <w:t>Condensed Consolidated Balance Sheet</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54735e94df41c3a44babbae82e9fc7_22">
              <w:r>
                <w:rPr>
                  <w:rStyle w:val="InternetLink"/>
                  <w:rFonts w:ascii="Times New Roman;serif" w:hAnsi="Times New Roman;serif"/>
                  <w:b w:val="false"/>
                  <w:strike w:val="false"/>
                  <w:dstrike w:val="false"/>
                  <w:color w:val="000000"/>
                  <w:sz w:val="20"/>
                  <w:u w:val="none"/>
                  <w:effect w:val="none"/>
                </w:rPr>
                <w:t>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54735e94df41c3a44babbae82e9fc7_25">
              <w:r>
                <w:rPr>
                  <w:rStyle w:val="InternetLink"/>
                  <w:rFonts w:ascii="Times New Roman;serif" w:hAnsi="Times New Roman;serif"/>
                  <w:b w:val="false"/>
                  <w:color w:val="0000FF"/>
                  <w:sz w:val="20"/>
                  <w:u w:val="single"/>
                </w:rPr>
                <w:t>Condensed Consolidated Statement of Shareholders’ Investment</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54735e94df41c3a44babbae82e9fc7_25">
              <w:r>
                <w:rPr>
                  <w:rStyle w:val="InternetLink"/>
                  <w:rFonts w:ascii="Times New Roman;serif" w:hAnsi="Times New Roman;serif"/>
                  <w:b w:val="false"/>
                  <w:strike w:val="false"/>
                  <w:dstrike w:val="false"/>
                  <w:color w:val="000000"/>
                  <w:sz w:val="20"/>
                  <w:u w:val="none"/>
                  <w:effect w:val="none"/>
                </w:rPr>
                <w:t>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54735e94df41c3a44babbae82e9fc7_28">
              <w:r>
                <w:rPr>
                  <w:rStyle w:val="InternetLink"/>
                  <w:rFonts w:ascii="Times New Roman;serif" w:hAnsi="Times New Roman;serif"/>
                  <w:b w:val="false"/>
                  <w:color w:val="0000FF"/>
                  <w:sz w:val="20"/>
                  <w:u w:val="single"/>
                </w:rPr>
                <w:t>Condensed Consolidated Statement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54735e94df41c3a44babbae82e9fc7_28">
              <w:r>
                <w:rPr>
                  <w:rStyle w:val="InternetLink"/>
                  <w:rFonts w:ascii="Times New Roman;serif" w:hAnsi="Times New Roman;serif"/>
                  <w:b w:val="false"/>
                  <w:strike w:val="false"/>
                  <w:dstrike w:val="false"/>
                  <w:color w:val="000000"/>
                  <w:sz w:val="20"/>
                  <w:u w:val="none"/>
                  <w:effect w:val="none"/>
                </w:rPr>
                <w:t>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54735e94df41c3a44babbae82e9fc7_31">
              <w:r>
                <w:rPr>
                  <w:rStyle w:val="InternetLink"/>
                  <w:rFonts w:ascii="Times New Roman;serif" w:hAnsi="Times New Roman;serif"/>
                  <w:b w:val="false"/>
                  <w:color w:val="0000FF"/>
                  <w:sz w:val="20"/>
                  <w:u w:val="single"/>
                </w:rPr>
                <w:t>Notes to the Condensed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54735e94df41c3a44babbae82e9fc7_31">
              <w:r>
                <w:rPr>
                  <w:rStyle w:val="InternetLink"/>
                  <w:rFonts w:ascii="Times New Roman;serif" w:hAnsi="Times New Roman;serif"/>
                  <w:b w:val="false"/>
                  <w:strike w:val="false"/>
                  <w:dstrike w:val="false"/>
                  <w:color w:val="000000"/>
                  <w:sz w:val="20"/>
                  <w:u w:val="none"/>
                  <w:effect w:val="none"/>
                </w:rPr>
                <w:t>8</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54735e94df41c3a44babbae82e9fc7_82">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54735e94df41c3a44babbae82e9fc7_82">
              <w:r>
                <w:rPr>
                  <w:rStyle w:val="InternetLink"/>
                  <w:rFonts w:ascii="Times New Roman;serif" w:hAnsi="Times New Roman;serif"/>
                  <w:b w:val="false"/>
                  <w:strike w:val="false"/>
                  <w:dstrike w:val="false"/>
                  <w:color w:val="000000"/>
                  <w:sz w:val="20"/>
                  <w:u w:val="none"/>
                  <w:effect w:val="none"/>
                </w:rPr>
                <w:t>22</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54735e94df41c3a44babbae82e9fc7_106">
              <w:r>
                <w:rPr>
                  <w:rStyle w:val="InternetLink"/>
                  <w:rFonts w:ascii="Times New Roman;serif" w:hAnsi="Times New Roman;serif"/>
                  <w:b w:val="false"/>
                  <w:color w:val="0000FF"/>
                  <w:sz w:val="20"/>
                  <w:u w:val="single"/>
                </w:rPr>
                <w:t>Item 4. 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54735e94df41c3a44babbae82e9fc7_106">
              <w:r>
                <w:rPr>
                  <w:rStyle w:val="InternetLink"/>
                  <w:rFonts w:ascii="Times New Roman;serif" w:hAnsi="Times New Roman;serif"/>
                  <w:b w:val="false"/>
                  <w:strike w:val="false"/>
                  <w:dstrike w:val="false"/>
                  <w:color w:val="000000"/>
                  <w:sz w:val="20"/>
                  <w:u w:val="none"/>
                  <w:effect w:val="none"/>
                </w:rPr>
                <w:t>28</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54735e94df41c3a44babbae82e9fc7_109">
              <w:r>
                <w:rPr>
                  <w:rStyle w:val="InternetLink"/>
                  <w:rFonts w:ascii="Times New Roman;serif" w:hAnsi="Times New Roman;serif"/>
                  <w:b/>
                  <w:color w:val="0000FF"/>
                  <w:sz w:val="20"/>
                  <w:u w:val="single"/>
                </w:rPr>
                <w:t>Part II -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54735e94df41c3a44babbae82e9fc7_109">
              <w:r>
                <w:rPr>
                  <w:rStyle w:val="InternetLink"/>
                  <w:rFonts w:ascii="Times New Roman;serif" w:hAnsi="Times New Roman;serif"/>
                  <w:b w:val="false"/>
                  <w:strike w:val="false"/>
                  <w:dstrike w:val="false"/>
                  <w:color w:val="000000"/>
                  <w:sz w:val="20"/>
                  <w:u w:val="none"/>
                  <w:effect w:val="none"/>
                </w:rPr>
                <w:t>28</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54735e94df41c3a44babbae82e9fc7_112">
              <w:r>
                <w:rPr>
                  <w:rStyle w:val="InternetLink"/>
                  <w:rFonts w:ascii="Times New Roman;serif" w:hAnsi="Times New Roman;serif"/>
                  <w:b w:val="false"/>
                  <w:color w:val="0000FF"/>
                  <w:sz w:val="20"/>
                  <w:u w:val="single"/>
                </w:rPr>
                <w:t>Item 1. 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54735e94df41c3a44babbae82e9fc7_112">
              <w:r>
                <w:rPr>
                  <w:rStyle w:val="InternetLink"/>
                  <w:rFonts w:ascii="Times New Roman;serif" w:hAnsi="Times New Roman;serif"/>
                  <w:b w:val="false"/>
                  <w:strike w:val="false"/>
                  <w:dstrike w:val="false"/>
                  <w:color w:val="000000"/>
                  <w:sz w:val="20"/>
                  <w:u w:val="none"/>
                  <w:effect w:val="none"/>
                </w:rPr>
                <w:t>28</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54735e94df41c3a44babbae82e9fc7_115">
              <w:r>
                <w:rPr>
                  <w:rStyle w:val="InternetLink"/>
                  <w:rFonts w:ascii="Times New Roman;serif" w:hAnsi="Times New Roman;serif"/>
                  <w:b w:val="false"/>
                  <w:color w:val="0000FF"/>
                  <w:sz w:val="20"/>
                  <w:u w:val="single"/>
                </w:rPr>
                <w:t>Item 2. 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54735e94df41c3a44babbae82e9fc7_118">
              <w:r>
                <w:rPr>
                  <w:rStyle w:val="InternetLink"/>
                  <w:rFonts w:ascii="Times New Roman;serif" w:hAnsi="Times New Roman;serif"/>
                  <w:b w:val="false"/>
                  <w:color w:val="0000FF"/>
                  <w:sz w:val="20"/>
                  <w:u w:val="single"/>
                </w:rPr>
                <w:t>Item 6. 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54735e94df41c3a44babbae82e9fc7_118">
              <w:r>
                <w:rPr>
                  <w:rStyle w:val="InternetLink"/>
                  <w:rFonts w:ascii="Times New Roman;serif" w:hAnsi="Times New Roman;serif"/>
                  <w:b w:val="false"/>
                  <w:strike w:val="false"/>
                  <w:dstrike w:val="false"/>
                  <w:color w:val="000000"/>
                  <w:sz w:val="20"/>
                  <w:u w:val="none"/>
                  <w:effect w:val="none"/>
                </w:rPr>
                <w:t>30</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54735e94df41c3a44babbae82e9fc7_124">
              <w:r>
                <w:rPr>
                  <w:rStyle w:val="InternetLink"/>
                  <w:rFonts w:ascii="Times New Roman;serif" w:hAnsi="Times New Roman;serif"/>
                  <w:b w:val="false"/>
                  <w:color w:val="0000FF"/>
                  <w:sz w:val="20"/>
                  <w:u w:val="single"/>
                </w:rPr>
                <w:t>Signature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54735e94df41c3a44babbae82e9fc7_124">
              <w:r>
                <w:rPr>
                  <w:rStyle w:val="InternetLink"/>
                  <w:rFonts w:ascii="Times New Roman;serif" w:hAnsi="Times New Roman;serif"/>
                  <w:b w:val="false"/>
                  <w:strike w:val="false"/>
                  <w:dstrike w:val="false"/>
                  <w:color w:val="000000"/>
                  <w:sz w:val="20"/>
                  <w:u w:val="none"/>
                  <w:effect w:val="none"/>
                </w:rPr>
                <w:t>33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left"/>
        <w:rPr/>
      </w:pPr>
      <w:hyperlink w:anchor="if454735e94df41c3a44babbae82e9fc7_7">
        <w:r>
          <w:rPr>
            <w:rStyle w:val="InternetLink"/>
            <w:rFonts w:ascii="Times New Roman;serif" w:hAnsi="Times New Roman;serif"/>
            <w:b w:val="false"/>
            <w:color w:val="0000FF"/>
            <w:sz w:val="20"/>
            <w:u w:val="single"/>
          </w:rPr>
          <w:t>Table of Contents</w:t>
        </w:r>
      </w:hyperlink>
    </w:p>
    <w:p>
      <w:pPr>
        <w:pStyle w:val="TextBody"/>
        <w:bidi w:val="0"/>
        <w:spacing w:before="24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 of Earnings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(dollars in millions except per share data; shares in thousands)</w:t>
      </w:r>
    </w:p>
    <w:tbl>
      <w:tblPr>
        <w:tblW w:w="10205" w:type="dxa"/>
        <w:jc w:val="left"/>
        <w:tblInd w:w="0" w:type="dxa"/>
        <w:tblLayout w:type="fixed"/>
        <w:tblCellMar>
          <w:top w:w="28" w:type="dxa"/>
          <w:left w:w="28" w:type="dxa"/>
          <w:bottom w:w="28" w:type="dxa"/>
          <w:right w:w="28" w:type="dxa"/>
        </w:tblCellMar>
      </w:tblPr>
      <w:tblGrid>
        <w:gridCol w:w="2619"/>
        <w:gridCol w:w="2284"/>
        <w:gridCol w:w="2322"/>
        <w:gridCol w:w="220"/>
        <w:gridCol w:w="756"/>
        <w:gridCol w:w="109"/>
        <w:gridCol w:w="109"/>
        <w:gridCol w:w="109"/>
        <w:gridCol w:w="109"/>
        <w:gridCol w:w="220"/>
        <w:gridCol w:w="756"/>
        <w:gridCol w:w="109"/>
        <w:gridCol w:w="109"/>
        <w:gridCol w:w="109"/>
        <w:gridCol w:w="109"/>
        <w:gridCol w:w="156"/>
      </w:tblGrid>
      <w:tr>
        <w:trPr/>
        <w:tc>
          <w:tcPr>
            <w:tcW w:w="2619"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 excluding amortization of intangible assets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 and expenses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earnings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foreign exchange (gain)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taxes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on earnings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Common Shares Outstanding Used for Basic Earnings Per Common Share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Common Stock Options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Common Shares Outstanding Plus Dilutive Common Stock Options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Common Stock Options Having No Dilutive Effect</w:t>
            </w:r>
          </w:p>
        </w:tc>
        <w:tc>
          <w:tcPr>
            <w:tcW w:w="97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18"/>
        </w:rPr>
        <w:t>The accompanying notes to the condensed consolidated financial statements are an integral part of this statement</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left"/>
        <w:rPr/>
      </w:pPr>
      <w:hyperlink w:anchor="if454735e94df41c3a44babbae82e9fc7_7">
        <w:r>
          <w:rPr>
            <w:rStyle w:val="InternetLink"/>
            <w:rFonts w:ascii="Times New Roman;serif" w:hAnsi="Times New Roman;serif"/>
            <w:b w:val="false"/>
            <w:color w:val="0000FF"/>
            <w:sz w:val="20"/>
            <w:u w:val="single"/>
          </w:rPr>
          <w:t>Table of Contents</w:t>
        </w:r>
      </w:hyperlink>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(dollars in millions)</w:t>
      </w:r>
    </w:p>
    <w:tbl>
      <w:tblPr>
        <w:tblW w:w="10205" w:type="dxa"/>
        <w:jc w:val="left"/>
        <w:tblInd w:w="0" w:type="dxa"/>
        <w:tblLayout w:type="fixed"/>
        <w:tblCellMar>
          <w:top w:w="28" w:type="dxa"/>
          <w:left w:w="28" w:type="dxa"/>
          <w:bottom w:w="28" w:type="dxa"/>
          <w:right w:w="28" w:type="dxa"/>
        </w:tblCellMar>
      </w:tblPr>
      <w:tblGrid>
        <w:gridCol w:w="2853"/>
        <w:gridCol w:w="2338"/>
        <w:gridCol w:w="2332"/>
        <w:gridCol w:w="211"/>
        <w:gridCol w:w="616"/>
        <w:gridCol w:w="109"/>
        <w:gridCol w:w="109"/>
        <w:gridCol w:w="109"/>
        <w:gridCol w:w="109"/>
        <w:gridCol w:w="211"/>
        <w:gridCol w:w="616"/>
        <w:gridCol w:w="109"/>
        <w:gridCol w:w="109"/>
        <w:gridCol w:w="109"/>
        <w:gridCol w:w="109"/>
        <w:gridCol w:w="156"/>
      </w:tblGrid>
      <w:tr>
        <w:trPr/>
        <w:tc>
          <w:tcPr>
            <w:tcW w:w="2853"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(loss) adjustments, net of taxes of $(11) in 2026 and $32 in 2025</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actuarial gains (losses) and amortization of net actuarial losses and prior service costs and credits, net of taxes of $1 in 2026 and $— in 2025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gains (losses) for derivative instruments designated as cash flow hedges, net of taxes of $32 in 2026 and $(40) in 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9766" w:type="dxa"/>
        <w:jc w:val="left"/>
        <w:tblInd w:w="0" w:type="dxa"/>
        <w:tblLayout w:type="fixed"/>
        <w:tblCellMar>
          <w:top w:w="28" w:type="dxa"/>
          <w:left w:w="28" w:type="dxa"/>
          <w:bottom w:w="28" w:type="dxa"/>
          <w:right w:w="28" w:type="dxa"/>
        </w:tblCellMar>
      </w:tblPr>
      <w:tblGrid>
        <w:gridCol w:w="2642"/>
        <w:gridCol w:w="2318"/>
        <w:gridCol w:w="2329"/>
        <w:gridCol w:w="211"/>
        <w:gridCol w:w="691"/>
        <w:gridCol w:w="109"/>
        <w:gridCol w:w="109"/>
        <w:gridCol w:w="109"/>
        <w:gridCol w:w="109"/>
        <w:gridCol w:w="227"/>
        <w:gridCol w:w="746"/>
        <w:gridCol w:w="166"/>
      </w:tblGrid>
      <w:tr>
        <w:trPr/>
        <w:tc>
          <w:tcPr>
            <w:tcW w:w="2642"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Accumulated Other Comprehensive Income (Loss) Information, net of tax:</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foreign currency translation (loss) adjustments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actuarial (losses) and prior service (costs) and credits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gains (losses) on derivative instruments designated as cash flow hedges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(6,001)</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18"/>
        </w:rPr>
      </w:pPr>
      <w:r>
        <w:rPr>
          <w:rFonts w:ascii="Times New Roman;serif" w:hAnsi="Times New Roman;serif"/>
          <w:b w:val="false"/>
          <w:color w:val="000000"/>
          <w:sz w:val="18"/>
        </w:rPr>
        <w:t>The accompanying notes to the condensed consolidated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left"/>
        <w:rPr/>
      </w:pPr>
      <w:hyperlink w:anchor="if454735e94df41c3a44babbae82e9fc7_7">
        <w:r>
          <w:rPr>
            <w:rStyle w:val="InternetLink"/>
            <w:rFonts w:ascii="Times New Roman;serif" w:hAnsi="Times New Roman;serif"/>
            <w:b w:val="false"/>
            <w:color w:val="0000FF"/>
            <w:sz w:val="20"/>
            <w:u w:val="single"/>
          </w:rPr>
          <w:t>Table of Contents</w:t>
        </w:r>
      </w:hyperlink>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Balance Sheet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bl>
      <w:tblPr>
        <w:tblW w:w="9093" w:type="dxa"/>
        <w:jc w:val="left"/>
        <w:tblInd w:w="0" w:type="dxa"/>
        <w:tblLayout w:type="fixed"/>
        <w:tblCellMar>
          <w:top w:w="28" w:type="dxa"/>
          <w:left w:w="28" w:type="dxa"/>
          <w:bottom w:w="28" w:type="dxa"/>
          <w:right w:w="28" w:type="dxa"/>
        </w:tblCellMar>
      </w:tblPr>
      <w:tblGrid>
        <w:gridCol w:w="2374"/>
        <w:gridCol w:w="2093"/>
        <w:gridCol w:w="2118"/>
        <w:gridCol w:w="196"/>
        <w:gridCol w:w="736"/>
        <w:gridCol w:w="109"/>
        <w:gridCol w:w="109"/>
        <w:gridCol w:w="109"/>
        <w:gridCol w:w="109"/>
        <w:gridCol w:w="224"/>
        <w:gridCol w:w="740"/>
        <w:gridCol w:w="176"/>
      </w:tblGrid>
      <w:tr>
        <w:trPr/>
        <w:tc>
          <w:tcPr>
            <w:tcW w:w="2374"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Trade receivables, less allowances of $494 in 2026 and $490 in 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products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Materials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6,488 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25,996 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at cost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property and equipment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 of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24,035 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18,422 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86,713 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Shareholders’ Investment</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wages, and commissions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Post-employment obligations, deferred income taxes, and other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Investment: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shares, one dollar par value Authorized — 1,000,000 shares, none issued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Common shares, without par value Authorized — 2,400,000,000 shares </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Issued at stated capital amount — Shares: 2026: 1,998,233,756; 2025: 1,996,795,525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shares held in treasury, at cost — Shares: 2026: 256,420,602; 2025: 260,196,074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employed in the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49,781 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Abbott Shareholders’ Investment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52,130 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Investment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52,771 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86,713 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to the condensed consolidated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left"/>
        <w:rPr/>
      </w:pPr>
      <w:hyperlink w:anchor="if454735e94df41c3a44babbae82e9fc7_7">
        <w:r>
          <w:rPr>
            <w:rStyle w:val="InternetLink"/>
            <w:rFonts w:ascii="Times New Roman;serif" w:hAnsi="Times New Roman;serif"/>
            <w:b w:val="false"/>
            <w:color w:val="0000FF"/>
            <w:sz w:val="20"/>
            <w:u w:val="single"/>
          </w:rPr>
          <w:t>Table of Contents</w:t>
        </w:r>
      </w:hyperlink>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 of Shareholders’ Investment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shares and per share data)</w:t>
      </w:r>
    </w:p>
    <w:tbl>
      <w:tblPr>
        <w:tblW w:w="8964" w:type="dxa"/>
        <w:jc w:val="left"/>
        <w:tblInd w:w="0" w:type="dxa"/>
        <w:tblLayout w:type="fixed"/>
        <w:tblCellMar>
          <w:top w:w="28" w:type="dxa"/>
          <w:left w:w="28" w:type="dxa"/>
          <w:bottom w:w="28" w:type="dxa"/>
          <w:right w:w="28" w:type="dxa"/>
        </w:tblCellMar>
      </w:tblPr>
      <w:tblGrid>
        <w:gridCol w:w="2371"/>
        <w:gridCol w:w="2076"/>
        <w:gridCol w:w="2093"/>
        <w:gridCol w:w="196"/>
        <w:gridCol w:w="721"/>
        <w:gridCol w:w="109"/>
        <w:gridCol w:w="109"/>
        <w:gridCol w:w="109"/>
        <w:gridCol w:w="109"/>
        <w:gridCol w:w="196"/>
        <w:gridCol w:w="721"/>
        <w:gridCol w:w="154"/>
      </w:tblGrid>
      <w:tr>
        <w:trPr/>
        <w:tc>
          <w:tcPr>
            <w:tcW w:w="2371"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Shares: 2026: 1,996,795,525; 2025: 1,991,472,630</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Issued under incentive stock programs</w:t>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Shares: 2026: 1,438,231; 2025: 4,385,976</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 awards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w:t>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Shares: 2026: 1,998,233,756; 2025: 1,995,858,606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 Held in Treasury:</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Shares: 2026: 260,196,074; 2025: 259,774,639</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Issued under incentive stock programs</w:t>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Shares: 2026: 3,926,228; 2025: 3,935,939</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Purchased</w:t>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Shares: 2026: 150,756; 2025: 182,716</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w:t>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Shares: 2026: 256,420,602; 2025: 256,021,416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Employed in the Business: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dividends declared on common shares (per share — 2026: $0.63; 2025: $0.59)</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common and treasury share transactions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Subsidiaries: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share of income (loss), net of distributions and share repurchases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The accompanying notes to the condensed consolidated financial statements are an integral part of this statement.</w:t>
      </w:r>
    </w:p>
    <w:p>
      <w:pPr>
        <w:pStyle w:val="TextBody"/>
        <w:bidi w:val="0"/>
        <w:spacing w:before="240" w:after="283"/>
        <w:jc w:val="center"/>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left"/>
        <w:rPr/>
      </w:pPr>
      <w:hyperlink w:anchor="if454735e94df41c3a44babbae82e9fc7_7">
        <w:r>
          <w:rPr>
            <w:rStyle w:val="InternetLink"/>
            <w:rFonts w:ascii="Times New Roman;serif" w:hAnsi="Times New Roman;serif"/>
            <w:b w:val="false"/>
            <w:color w:val="0000FF"/>
            <w:sz w:val="20"/>
            <w:u w:val="single"/>
          </w:rPr>
          <w:t>Table of Contents</w:t>
        </w:r>
      </w:hyperlink>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(dollars in millions)</w:t>
      </w:r>
    </w:p>
    <w:tbl>
      <w:tblPr>
        <w:tblW w:w="8770" w:type="dxa"/>
        <w:jc w:val="left"/>
        <w:tblInd w:w="0" w:type="dxa"/>
        <w:tblLayout w:type="fixed"/>
        <w:tblCellMar>
          <w:top w:w="28" w:type="dxa"/>
          <w:left w:w="28" w:type="dxa"/>
          <w:bottom w:w="28" w:type="dxa"/>
          <w:right w:w="28" w:type="dxa"/>
        </w:tblCellMar>
      </w:tblPr>
      <w:tblGrid>
        <w:gridCol w:w="2311"/>
        <w:gridCol w:w="2025"/>
        <w:gridCol w:w="2038"/>
        <w:gridCol w:w="225"/>
        <w:gridCol w:w="659"/>
        <w:gridCol w:w="116"/>
        <w:gridCol w:w="116"/>
        <w:gridCol w:w="116"/>
        <w:gridCol w:w="116"/>
        <w:gridCol w:w="225"/>
        <w:gridCol w:w="659"/>
        <w:gridCol w:w="164"/>
      </w:tblGrid>
      <w:tr>
        <w:trPr/>
        <w:tc>
          <w:tcPr>
            <w:tcW w:w="2311"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(Used in) Operating Activities:</w:t>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earnings to net cash from operating activities —</w:t>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From Operating Activities</w:t>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(Used in) Investing Activities:</w:t>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property and equipment</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businesses and technologies, net of cash acquired</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(purchases) of other investment securities, net</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From (Used in) Investing Activities</w:t>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(Used in) Financing Activities:</w:t>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borrowings (repayments) of short-term debt and other</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long-term debt</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debt</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common shares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 options exercised</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From (Used in) Financing Activities</w:t>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Year</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to the condensed consolidated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f454735e94df41c3a44babbae82e9fc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1 — Basis of Presentation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pursuant to rules and regulations of the Securities and Exchange Commission and, therefore, do not include all information and footnote disclosures normally included in audited financial statements. However, in the opinion of management, all adjustments (which include only normal adjustments) necessary to present fairly the results of operations, financial position, and cash flows have been made. These statements should be read in conjunction with the financial statements included in Abbott’s Annual Report on Form 10-K for the year ended December 31, 2025. The condensed consolidated financial statements include the accounts of the parent company and subsidiaries, after elimination of intercompany transactions.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2 — New Accounting Standards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Recent Accounting Standards Not Yet Adopted</w:t>
      </w:r>
    </w:p>
    <w:p>
      <w:pPr>
        <w:pStyle w:val="TextBody"/>
        <w:bidi w:val="0"/>
        <w:spacing w:lineRule="auto" w:line="288" w:before="120" w:after="283"/>
        <w:jc w:val="both"/>
        <w:rPr/>
      </w:pPr>
      <w:r>
        <w:rPr>
          <w:rFonts w:ascii="Times New Roman;serif" w:hAnsi="Times New Roman;serif"/>
          <w:b w:val="false"/>
          <w:color w:val="000000"/>
          <w:sz w:val="20"/>
        </w:rPr>
        <w:t xml:space="preserve">In November 2024, the Financial Accounting Standards Board (FASB) issued ASU 2024-03, </w:t>
      </w:r>
      <w:r>
        <w:rPr>
          <w:rFonts w:ascii="Times New Roman;serif" w:hAnsi="Times New Roman;serif"/>
          <w:b w:val="false"/>
          <w:i/>
          <w:color w:val="000000"/>
          <w:sz w:val="20"/>
        </w:rPr>
        <w:t>Income Statement (Subtopic 220-40): Reporting Comprehensive Income - Expense Disaggregation Disclosures</w:t>
      </w:r>
      <w:r>
        <w:rPr>
          <w:rFonts w:ascii="Times New Roman;serif" w:hAnsi="Times New Roman;serif"/>
          <w:b w:val="false"/>
          <w:color w:val="000000"/>
          <w:sz w:val="20"/>
        </w:rPr>
        <w:t>, which requires an entity to disclose on an annual and interim basis, disaggregated information about specific income statement expense categories. The guidance should be applied prospectively with the option to apply the standard retrospectively. The standard becomes effective for Abbott for full year 2027 reporting. Abbott is currently evaluating the impact of this new standard on its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f454735e94df41c3a44babbae82e9fc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3 —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Abbott’s revenues are derived primarily from the sale of a broad portfolio of healthcare products under short-term receivable arrangements. Abbott has four reportable segments: Established Pharmaceutical Products, Nutritional Products, Diagnostic Products, and Medical Devices.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detail by sales category: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44"/>
        <w:gridCol w:w="900"/>
        <w:gridCol w:w="907"/>
        <w:gridCol w:w="109"/>
        <w:gridCol w:w="109"/>
        <w:gridCol w:w="10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55"/>
      </w:tblGrid>
      <w:tr>
        <w:trPr/>
        <w:tc>
          <w:tcPr>
            <w:tcW w:w="104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Established Pharmaceutical Products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Key Emerging Markets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Nutritional Products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Pediatric Nutritionals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Adult Nutritionals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Diagnostic Products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Core Laboratory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Rapid and Molecular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Cancer Diagnostics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Medical Devices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Rhythm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Electrophysiology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Heart Failure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Vascular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Structural Heart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Neuromodulation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Diabetes Care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___________________________________ </w:t>
      </w:r>
    </w:p>
    <w:tbl>
      <w:tblPr>
        <w:tblW w:w="10205" w:type="dxa"/>
        <w:jc w:val="left"/>
        <w:tblInd w:w="0" w:type="dxa"/>
        <w:tblLayout w:type="fixed"/>
        <w:tblCellMar>
          <w:top w:w="28" w:type="dxa"/>
          <w:left w:w="28" w:type="dxa"/>
          <w:bottom w:w="28" w:type="dxa"/>
          <w:right w:w="28" w:type="dxa"/>
        </w:tblCellMar>
      </w:tblPr>
      <w:tblGrid>
        <w:gridCol w:w="191"/>
        <w:gridCol w:w="168"/>
        <w:gridCol w:w="170"/>
        <w:gridCol w:w="2834"/>
        <w:gridCol w:w="2834"/>
        <w:gridCol w:w="4008"/>
      </w:tblGrid>
      <w:tr>
        <w:trPr/>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4008" w:type="dxa"/>
            <w:tcBorders/>
            <w:vAlign w:val="center"/>
          </w:tcPr>
          <w:p>
            <w:pPr>
              <w:pStyle w:val="TableContents"/>
              <w:bidi w:val="0"/>
              <w:spacing w:before="0" w:after="283"/>
              <w:jc w:val="left"/>
              <w:rPr>
                <w:sz w:val="4"/>
                <w:szCs w:val="4"/>
              </w:rPr>
            </w:pPr>
            <w:r>
              <w:rPr>
                <w:sz w:val="4"/>
                <w:szCs w:val="4"/>
              </w:rPr>
            </w:r>
          </w:p>
        </w:tc>
      </w:tr>
      <w:tr>
        <w:trPr/>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Notes:</w:t>
            </w:r>
          </w:p>
        </w:tc>
        <w:tc>
          <w:tcPr>
            <w:tcW w:w="96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Abbott's Amplatzer Amulet Left Atrial Appendage Occluder device and related accessories were transferred from Structural Heart to Electrophysiology on January 1, 2026. As a result, $46 million of sales in the first quarter of 2025 were reclassified from Structural Heart to Electrophysiology.</w:t>
            </w:r>
          </w:p>
        </w:tc>
      </w:tr>
      <w:tr>
        <w:trPr/>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in 2026, Abbott aggregated its previously reported Rapid Diagnostics, Molecular Diagnostics, and Point of Care businesses into the Rapid and Molecular Diagnostics business.</w:t>
            </w:r>
          </w:p>
        </w:tc>
      </w:tr>
      <w:tr>
        <w:trPr/>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On March 23, 2026, Abbott completed the acquisition of Exact Sciences Corporation (Exact Sciences). Following the acquisition, the sales of Exact Sciences are presented as Abbott's Cancer Diagnostics business.</w:t>
            </w:r>
          </w:p>
        </w:tc>
      </w:tr>
    </w:tbl>
    <w:p>
      <w:pPr>
        <w:pStyle w:val="TextBody"/>
        <w:bidi w:val="0"/>
        <w:spacing w:before="0" w:after="0"/>
        <w:ind w:left="0" w:right="0" w:firstLine="450"/>
        <w:jc w:val="left"/>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f454735e94df41c3a44babbae82e9fc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3 — Revenue (Continued)</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Remaining Performance Obligations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the estimated revenue expected to be recognized in the future related to performance obligations that are unsatisfied (or partially unsatisfied) was $6.2 billion in the Diagnostic Products segment, $429 million in the Medical Devices segment and $258 million in the Established Pharmaceuticals segment. Abbott expects to recognize revenue on approximately 52 percent of these remaining performance obligations over the next 24 months, approximately 18 percent over the subsequent 12 months, and the remainder thereafter.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These performance obligations primarily reflect the future sale of products in contracts with minimum purchase obligations, extended warranty or service obligations related to previously sold equipment, and remote monitoring services related to previously implanted devices. Abbott has applied the practical expedient described in FASB Accounting Standards Codification (ASC) 606-10-50-14 and has not included remaining performance obligations related to contracts with original expected durations of one year or less in the amounts above.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Contract Assets and Liabilities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Abbott discloses Trade receivables separately in the Condensed Consolidated Balance Sheet at the net amount expected to be collected. Contract assets primarily relate to Abbott’s conditional right to consideration for work completed but not billed at the reporting date. Contract assets at the beginning and the end of the period, as well as the changes in the balance, were not significant.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liabilities primarily relate to payments received from customers in advance of performance under the contract. Abbott’s contract liabilities arise primarily in the Medical Devices segment when payment is received upfront for various multi-period extended service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the contract liabilities during the period are as follows:</w:t>
      </w:r>
    </w:p>
    <w:p>
      <w:pPr>
        <w:pStyle w:val="TextBody"/>
        <w:bidi w:val="0"/>
        <w:spacing w:before="0" w:after="0"/>
        <w:jc w:val="both"/>
        <w:rPr/>
      </w:pPr>
      <w:r>
        <w:rPr/>
      </w:r>
    </w:p>
    <w:tbl>
      <w:tblPr>
        <w:tblW w:w="5838" w:type="dxa"/>
        <w:jc w:val="left"/>
        <w:tblInd w:w="0" w:type="dxa"/>
        <w:tblLayout w:type="fixed"/>
        <w:tblCellMar>
          <w:top w:w="28" w:type="dxa"/>
          <w:left w:w="28" w:type="dxa"/>
          <w:bottom w:w="28" w:type="dxa"/>
          <w:right w:w="28" w:type="dxa"/>
        </w:tblCellMar>
      </w:tblPr>
      <w:tblGrid>
        <w:gridCol w:w="1695"/>
        <w:gridCol w:w="1490"/>
        <w:gridCol w:w="1495"/>
        <w:gridCol w:w="109"/>
        <w:gridCol w:w="109"/>
        <w:gridCol w:w="109"/>
        <w:gridCol w:w="211"/>
        <w:gridCol w:w="466"/>
        <w:gridCol w:w="154"/>
      </w:tblGrid>
      <w:tr>
        <w:trPr/>
        <w:tc>
          <w:tcPr>
            <w:tcW w:w="169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 from cash received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related to contract liability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4 — Supplemental Financial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Shares of unvested restricted stock that contain non-forfeitable rights to dividends are treated as participating securities and are included in the computation of earnings per share under the two-class method. Under the two-class method, net earnings are allocated between common shares and participating securities. Net earnings allocated to common shares for the three months ended March 31, 2026, and 2025, were $1.1 billion and $1.3 billion,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net in Net Cash From Operating Activities in the Condensed Consolidated Statement of Cash Flows for the first three months of 2026 includes the payment of cash taxes of $266 million. The first three months of 2025 included $235 million of pension contributions and the payment of cash taxes of $255 million.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f454735e94df41c3a44babbae82e9fc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4 — Supplemental Financial Information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summarizes the activity for the first three months of 2026 related to the allowance for doubtful accounts as of March 31, 2026:</w:t>
      </w:r>
    </w:p>
    <w:p>
      <w:pPr>
        <w:pStyle w:val="TextBody"/>
        <w:bidi w:val="0"/>
        <w:spacing w:before="0" w:after="0"/>
        <w:jc w:val="both"/>
        <w:rPr/>
      </w:pPr>
      <w:r>
        <w:rPr/>
      </w:r>
    </w:p>
    <w:tbl>
      <w:tblPr>
        <w:tblW w:w="4728" w:type="dxa"/>
        <w:jc w:val="left"/>
        <w:tblInd w:w="0" w:type="dxa"/>
        <w:tblLayout w:type="fixed"/>
        <w:tblCellMar>
          <w:top w:w="28" w:type="dxa"/>
          <w:left w:w="28" w:type="dxa"/>
          <w:bottom w:w="28" w:type="dxa"/>
          <w:right w:w="28" w:type="dxa"/>
        </w:tblCellMar>
      </w:tblPr>
      <w:tblGrid>
        <w:gridCol w:w="1293"/>
        <w:gridCol w:w="1135"/>
        <w:gridCol w:w="1142"/>
        <w:gridCol w:w="109"/>
        <w:gridCol w:w="109"/>
        <w:gridCol w:w="109"/>
        <w:gridCol w:w="211"/>
        <w:gridCol w:w="466"/>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Doubtful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Provisions/charges to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charged off and other deductions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allowance for doubtful accounts reflects the current estimate of credit losses expected to be incurred over the life of the accounts receivable. Abbott considers various factors in establishing, monitoring, and adjusting its allowance for doubtful accounts, including the aging of the accounts and aging trends, the historical level of charge-offs, and specific exposures related to particular customers. Abbott also monitors other risk factors and forward-looking information, such as country risk, when determining credit limits for customers and establishing adequate allowances.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long-term investments are as follows:</w:t>
      </w:r>
    </w:p>
    <w:tbl>
      <w:tblPr>
        <w:tblW w:w="4784" w:type="dxa"/>
        <w:jc w:val="left"/>
        <w:tblInd w:w="0" w:type="dxa"/>
        <w:tblLayout w:type="fixed"/>
        <w:tblCellMar>
          <w:top w:w="28" w:type="dxa"/>
          <w:left w:w="28" w:type="dxa"/>
          <w:bottom w:w="28" w:type="dxa"/>
          <w:right w:w="28" w:type="dxa"/>
        </w:tblCellMar>
      </w:tblPr>
      <w:tblGrid>
        <w:gridCol w:w="744"/>
        <w:gridCol w:w="652"/>
        <w:gridCol w:w="658"/>
        <w:gridCol w:w="109"/>
        <w:gridCol w:w="109"/>
        <w:gridCol w:w="109"/>
        <w:gridCol w:w="211"/>
        <w:gridCol w:w="616"/>
        <w:gridCol w:w="109"/>
        <w:gridCol w:w="109"/>
        <w:gridCol w:w="109"/>
        <w:gridCol w:w="109"/>
        <w:gridCol w:w="289"/>
        <w:gridCol w:w="639"/>
        <w:gridCol w:w="212"/>
      </w:tblGrid>
      <w:tr>
        <w:trPr/>
        <w:tc>
          <w:tcPr>
            <w:tcW w:w="74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Abbott’s long-term investments as of March 31, 2026, compared to December 31, 2025, primarily reflects non-marketable securities acquired in the Exact Sciences acquisition, as well as additional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Abbott’s equity securities as of March 31, 2026, include $309 million of investments in mutual funds that are held in a rabbi trust. These investments, which are specifically designated as available for the purpose of paying benefits under a deferred compensation plan, are not available for general corporate purposes and are subject to creditor claims in the event of insolvency.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Abbott holds certain investments as of March 31, 2026, including investments accounted for under the equity method with a carrying value of $151 million and other equity investments with a carrying value of $241 million that do not have a readily determinable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f454735e94df41c3a44babbae82e9fc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5 — Changes In Accumulated Other Comprehensive Income (Loss)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changes in Accumulated other comprehensive income (loss), net of tax, are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08"/>
        <w:gridCol w:w="1052"/>
        <w:gridCol w:w="847"/>
        <w:gridCol w:w="109"/>
        <w:gridCol w:w="109"/>
        <w:gridCol w:w="109"/>
        <w:gridCol w:w="211"/>
        <w:gridCol w:w="654"/>
        <w:gridCol w:w="109"/>
        <w:gridCol w:w="109"/>
        <w:gridCol w:w="109"/>
        <w:gridCol w:w="109"/>
        <w:gridCol w:w="211"/>
        <w:gridCol w:w="654"/>
        <w:gridCol w:w="109"/>
        <w:gridCol w:w="109"/>
        <w:gridCol w:w="109"/>
        <w:gridCol w:w="109"/>
        <w:gridCol w:w="214"/>
        <w:gridCol w:w="406"/>
        <w:gridCol w:w="110"/>
        <w:gridCol w:w="110"/>
        <w:gridCol w:w="110"/>
        <w:gridCol w:w="110"/>
        <w:gridCol w:w="214"/>
        <w:gridCol w:w="513"/>
        <w:gridCol w:w="110"/>
        <w:gridCol w:w="109"/>
        <w:gridCol w:w="109"/>
        <w:gridCol w:w="109"/>
        <w:gridCol w:w="217"/>
        <w:gridCol w:w="413"/>
        <w:gridCol w:w="112"/>
        <w:gridCol w:w="112"/>
        <w:gridCol w:w="112"/>
        <w:gridCol w:w="112"/>
        <w:gridCol w:w="217"/>
        <w:gridCol w:w="480"/>
        <w:gridCol w:w="170"/>
      </w:tblGrid>
      <w:tr>
        <w:trPr/>
        <w:tc>
          <w:tcPr>
            <w:tcW w:w="120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3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Cumulative Foreign</w:t>
              <w:br/>
              <w:t>Currency Translation</w:t>
              <w:br/>
              <w:t>(Loss)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Actuarial (Losses) and</w:t>
              <w:br/>
              <w:t>Prior Service (Costs) and</w:t>
              <w:br/>
              <w:t>Credits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Cumulative Gains (Losses)</w:t>
              <w:br/>
              <w:t>on Derivative Instruments</w:t>
              <w:br/>
              <w:t>Designated as Cash Flow</w:t>
              <w:br/>
              <w:t>Hedges</w:t>
            </w:r>
          </w:p>
        </w:tc>
      </w:tr>
      <w:tr>
        <w:trPr/>
        <w:tc>
          <w:tcPr>
            <w:tcW w:w="3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Reclassified amounts for cash flow hedges are recorded as Cost of products sold. Net actuarial losses and prior service cost are included as a component of net periodic benefit costs; see Note 13 — Post-Employment Benefits for additional details.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Note 6 — Business Acquisition</w:t>
      </w:r>
    </w:p>
    <w:p>
      <w:pPr>
        <w:pStyle w:val="TextBody"/>
        <w:bidi w:val="0"/>
        <w:spacing w:lineRule="auto" w:line="288" w:before="120" w:after="283"/>
        <w:jc w:val="both"/>
        <w:rPr/>
      </w:pPr>
      <w:r>
        <w:rPr>
          <w:rFonts w:ascii="Times New Roman;serif" w:hAnsi="Times New Roman;serif"/>
          <w:b w:val="false"/>
          <w:color w:val="000000"/>
          <w:sz w:val="20"/>
        </w:rPr>
        <w:t>On March 23, 2026, Abbott completed the acquisition of Exact Sciences for approximately $20.6 billion. The acquisition was funded primarily through the issuance of $20.0 billion of long-term debt in March 2026, with the remainder funded by cash on hand. Under the terms of the agreement, Abbott paid $105 per common share in cash. As part of the acquisition, Abbott assumed approximately $2.8 billion of Exact Sciences’ debt, of which $1.4 billion was repaid in March 2026. The remaining debt is expected to be repaid in 2026. The acquisition of Exact Sciences is expected to establish Abbott's position in the cancer diagnostics market and expands its portfolio to include products such as Cologuard</w:t>
      </w:r>
      <w:r>
        <w:rPr>
          <w:rFonts w:ascii="Times New Roman;serif" w:hAnsi="Times New Roman;serif"/>
          <w:b w:val="false"/>
          <w:color w:val="000000"/>
          <w:sz w:val="13"/>
        </w:rPr>
        <w:t>®</w:t>
      </w:r>
      <w:r>
        <w:rPr>
          <w:rFonts w:ascii="Times New Roman;serif" w:hAnsi="Times New Roman;serif"/>
          <w:b w:val="false"/>
          <w:color w:val="000000"/>
          <w:sz w:val="20"/>
        </w:rPr>
        <w:t>, Oncotype DX</w:t>
      </w:r>
      <w:r>
        <w:rPr>
          <w:rFonts w:ascii="Times New Roman;serif" w:hAnsi="Times New Roman;serif"/>
          <w:b w:val="false"/>
          <w:color w:val="000000"/>
          <w:sz w:val="13"/>
        </w:rPr>
        <w:t>®</w:t>
      </w:r>
      <w:r>
        <w:rPr>
          <w:rFonts w:ascii="Times New Roman;serif" w:hAnsi="Times New Roman;serif"/>
          <w:b w:val="false"/>
          <w:color w:val="000000"/>
          <w:sz w:val="20"/>
        </w:rPr>
        <w:t>, and Cancerguard</w:t>
      </w:r>
      <w:r>
        <w:rPr>
          <w:rFonts w:ascii="Times New Roman;serif" w:hAnsi="Times New Roman;serif"/>
          <w:b w:val="false"/>
          <w:color w:val="000000"/>
          <w:sz w:val="13"/>
        </w:rPr>
        <w:t>®</w:t>
      </w:r>
      <w:r>
        <w:rPr>
          <w:rFonts w:ascii="Times New Roman;serif" w:hAnsi="Times New Roman;serif"/>
          <w:b w:val="false"/>
          <w:color w:val="000000"/>
          <w:sz w:val="2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preliminary allocation of the fair value of the Exact Sciences acquisition is shown in the table below. Allocation of the purchase price of the acquisition will be finalized when the valuation of assets and liabilities is completed and differences between the preliminary and final allocation could be material. </w:t>
      </w:r>
    </w:p>
    <w:tbl>
      <w:tblPr>
        <w:tblW w:w="5027" w:type="dxa"/>
        <w:jc w:val="left"/>
        <w:tblInd w:w="0" w:type="dxa"/>
        <w:tblLayout w:type="fixed"/>
        <w:tblCellMar>
          <w:top w:w="28" w:type="dxa"/>
          <w:left w:w="28" w:type="dxa"/>
          <w:bottom w:w="28" w:type="dxa"/>
          <w:right w:w="28" w:type="dxa"/>
        </w:tblCellMar>
      </w:tblPr>
      <w:tblGrid>
        <w:gridCol w:w="1381"/>
        <w:gridCol w:w="1217"/>
        <w:gridCol w:w="1226"/>
        <w:gridCol w:w="109"/>
        <w:gridCol w:w="109"/>
        <w:gridCol w:w="109"/>
        <w:gridCol w:w="211"/>
        <w:gridCol w:w="511"/>
        <w:gridCol w:w="154"/>
      </w:tblGrid>
      <w:tr>
        <w:trPr/>
        <w:tc>
          <w:tcPr>
            <w:tcW w:w="138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intangible assets, non-deductible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non-deductible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net 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recorded at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preliminary allocation of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goodwill is primarily attributable to future growth opportunities, assembled workforce, potential future technologies, and other intangible assets that do not qualify for separate recognition, as well as expected synergies from combining operations. The acquired net tangible assets consist primarily of property, plant, and equipment; trade accounts receivable; trade accounts payable; other current liabilities; and other non-current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f454735e94df41c3a44babbae82e9fc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6 — Business Acquisition (Continued)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the acquisition had occurred as of the beginning of 2025, unaudited pro forma consolidated net sales for the three months ended March 31, 2025, would have been approximately $11.1 billion. Unaudited pro forma earnings before taxes for the three months ended March 31, 2025, would have been approximately $0.7 billion, reflecting transaction-related costs of approximately $0.5 billion, interest expense of approximately $0.2 billion, and amortization expense related to acquired intangible assets of approximately $0.2 billion. Unaudited pro forma consolidated net sales for the three months ended March 31, 2026, would have been approximately $11.9 billion. Unaudited pro forma earnings before taxes for the three months ended March 31, 2026, would have been approximately $1.4 billion, reflecting interest expense of approximately $0.2 billion and amortization expense related to acquired intangible assets of approximately $0.2 billion, and excluding transaction-related expenses of $0.5 billion that were directly attributable to the acquisition. The unaudited pro forma information is not necessarily indicative of the consolidated results of operations that would have been realized had the Exact Sciences acquisition been completed as of the beginning of 2025, nor is it intended to be indicative of future results of operations of the combined entity.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2026, Abbott's consolidated results include $96 million of net sales related to Exact Sciences. Earnings of Exact Sciences included in Abbott's consolidated financial statements since the acquisition date are not material to Abbott's consolidated earnings.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Note 7 — Goodwill and Intangible Assets </w:t>
      </w:r>
    </w:p>
    <w:p>
      <w:pPr>
        <w:pStyle w:val="TextBody"/>
        <w:bidi w:val="0"/>
        <w:spacing w:lineRule="auto" w:line="288" w:before="120" w:after="283"/>
        <w:jc w:val="both"/>
        <w:rPr/>
      </w:pPr>
      <w:r>
        <w:rPr>
          <w:rFonts w:ascii="Times New Roman;serif" w:hAnsi="Times New Roman;serif"/>
          <w:b w:val="false"/>
          <w:color w:val="000000"/>
          <w:sz w:val="20"/>
        </w:rPr>
        <w:t>The total amount of goodwill reported was $35.2 billion at March 31, 2026, and $24.0 billion at December 31, 2025. Goodwill increased by $11.4 billion</w:t>
      </w:r>
      <w:r>
        <w:rPr>
          <w:color w:val="000000"/>
        </w:rPr>
        <w:t xml:space="preserve"> </w:t>
      </w:r>
      <w:r>
        <w:rPr>
          <w:rFonts w:ascii="Times New Roman;serif" w:hAnsi="Times New Roman;serif"/>
          <w:b w:val="false"/>
          <w:color w:val="000000"/>
          <w:sz w:val="20"/>
        </w:rPr>
        <w:t xml:space="preserve">during the quarter due to the completion of the Exact Sciences acquisition. </w:t>
      </w:r>
      <w:r>
        <w:rPr>
          <w:rFonts w:ascii="Times New Roman;serif" w:hAnsi="Times New Roman;serif"/>
          <w:b w:val="false"/>
          <w:color w:val="000000"/>
          <w:sz w:val="20"/>
          <w:shd w:fill="FFFFFF" w:val="clear"/>
        </w:rPr>
        <w:t>F</w:t>
      </w:r>
      <w:r>
        <w:rPr>
          <w:rFonts w:ascii="Times New Roman;serif" w:hAnsi="Times New Roman;serif"/>
          <w:b w:val="false"/>
          <w:color w:val="000000"/>
          <w:sz w:val="20"/>
        </w:rPr>
        <w:t xml:space="preserve">oreign currency translation adjustments decreased goodwill by $0.2 billion in the first three months of 2026. The amount of goodwill related to reportable segments at March 31, 2026, was $2.7 billion for the Established Pharmaceutical Products segment, $0.3 billion for the Nutritional Products segment, $14.9 billion for the Diagnostic Products segment, and $17.3 billion for the Medical Devices segment. The Diagnostic Products segment includes the amount of goodwill related to the Exact Sciences acquisition. There were no reductions of goodwill relating to impairments in the first three months of 2026. </w:t>
      </w:r>
    </w:p>
    <w:p>
      <w:pPr>
        <w:pStyle w:val="TextBody"/>
        <w:bidi w:val="0"/>
        <w:spacing w:lineRule="auto" w:line="288" w:before="120" w:after="283"/>
        <w:jc w:val="both"/>
        <w:rPr/>
      </w:pPr>
      <w:r>
        <w:rPr>
          <w:rFonts w:ascii="Times New Roman;serif" w:hAnsi="Times New Roman;serif"/>
          <w:b w:val="false"/>
          <w:color w:val="000000"/>
          <w:sz w:val="20"/>
        </w:rPr>
        <w:t>The gross amount of amortizable intangible assets, primarily product rights and technology, was $40.3 billion as of March 31, 2026, and $27.6 billion as of December 31, 2025. The gross amount of amortizable intangible assets increased by $12.8 billion</w:t>
      </w:r>
      <w:r>
        <w:rPr>
          <w:color w:val="EE2724"/>
        </w:rPr>
        <w:t xml:space="preserve"> </w:t>
      </w:r>
      <w:r>
        <w:rPr>
          <w:rFonts w:ascii="Times New Roman;serif" w:hAnsi="Times New Roman;serif"/>
          <w:b w:val="false"/>
          <w:color w:val="000000"/>
          <w:sz w:val="20"/>
        </w:rPr>
        <w:t>during the quarter due to the completion of the Exact Sciences acquisition. Accumulated amortization was $23.6 billion and $23.3 billion as of March 31, 2026, and December 31, 2025, respectively. Abbott’s estimated annual amortization expense for intangible assets is approximately $2.6 billion in 2026, $2.3 billion in 2027, $1.8 billion in 2028, $1.7 billion in 2029, and $1.5 billion in 2030.</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Indefinite-lived intangible assets, which relate to in-process research and development (IPR&amp;D), were $1.2 billion as of March 31, 2026, and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8 — Restructuring Plans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2025, Abbott management approved plans to streamline operations in order to reduce costs and improve efficiencies in its diagnostics and medical devices businesses. In addition, Abbott recognized asset impairment charges of $12 million related to these restructuring plans in the first three months of 2025. The following summarizes the activity related to these restructuring actions and the status of the related accruals as of March 31, 2026:</w:t>
      </w:r>
    </w:p>
    <w:p>
      <w:pPr>
        <w:pStyle w:val="TextBody"/>
        <w:bidi w:val="0"/>
        <w:spacing w:before="0" w:after="0"/>
        <w:jc w:val="both"/>
        <w:rPr/>
      </w:pPr>
      <w:r>
        <w:rPr/>
      </w:r>
    </w:p>
    <w:tbl>
      <w:tblPr>
        <w:tblW w:w="4442" w:type="dxa"/>
        <w:jc w:val="left"/>
        <w:tblInd w:w="0" w:type="dxa"/>
        <w:tblLayout w:type="fixed"/>
        <w:tblCellMar>
          <w:top w:w="28" w:type="dxa"/>
          <w:left w:w="28" w:type="dxa"/>
          <w:bottom w:w="28" w:type="dxa"/>
          <w:right w:w="28" w:type="dxa"/>
        </w:tblCellMar>
      </w:tblPr>
      <w:tblGrid>
        <w:gridCol w:w="1190"/>
        <w:gridCol w:w="1045"/>
        <w:gridCol w:w="1049"/>
        <w:gridCol w:w="109"/>
        <w:gridCol w:w="109"/>
        <w:gridCol w:w="109"/>
        <w:gridCol w:w="211"/>
        <w:gridCol w:w="466"/>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and 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f454735e94df41c3a44babbae82e9fc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Note 9 — Incentive Stock Programs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first three months of 2026, Abbott granted 1,985,475 stock options, 449,237 restricted stock awards, and 4,833,122 restricted stock units under its incentive stock program. At March 31, 2026, 37 million shares were reserved for future grants. Information regarding the number of options outstanding and exercisable at March 31, 2026, is as follows:</w:t>
      </w:r>
    </w:p>
    <w:p>
      <w:pPr>
        <w:pStyle w:val="TextBody"/>
        <w:bidi w:val="0"/>
        <w:spacing w:before="0" w:after="0"/>
        <w:jc w:val="both"/>
        <w:rPr/>
      </w:pPr>
      <w:r>
        <w:rPr/>
      </w:r>
    </w:p>
    <w:tbl>
      <w:tblPr>
        <w:tblW w:w="6462" w:type="dxa"/>
        <w:jc w:val="left"/>
        <w:tblInd w:w="0" w:type="dxa"/>
        <w:tblLayout w:type="fixed"/>
        <w:tblCellMar>
          <w:top w:w="28" w:type="dxa"/>
          <w:left w:w="28" w:type="dxa"/>
          <w:bottom w:w="28" w:type="dxa"/>
          <w:right w:w="28" w:type="dxa"/>
        </w:tblCellMar>
      </w:tblPr>
      <w:tblGrid>
        <w:gridCol w:w="1220"/>
        <w:gridCol w:w="1075"/>
        <w:gridCol w:w="1079"/>
        <w:gridCol w:w="109"/>
        <w:gridCol w:w="109"/>
        <w:gridCol w:w="109"/>
        <w:gridCol w:w="275"/>
        <w:gridCol w:w="806"/>
        <w:gridCol w:w="118"/>
        <w:gridCol w:w="109"/>
        <w:gridCol w:w="109"/>
        <w:gridCol w:w="109"/>
        <w:gridCol w:w="275"/>
        <w:gridCol w:w="806"/>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Exercisable</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Number of shares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23,009,310 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19,466,463 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 average remaining life </w:t>
            </w:r>
            <w:r>
              <w:rPr>
                <w:rFonts w:ascii="Times New Roman;serif" w:hAnsi="Times New Roman;serif"/>
                <w:b w:val="false"/>
                <w:i/>
                <w:color w:val="000000"/>
                <w:sz w:val="20"/>
              </w:rPr>
              <w:t>(years)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exercise price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Aggregate intrinsic value </w:t>
            </w:r>
            <w:r>
              <w:rPr>
                <w:rFonts w:ascii="Times New Roman;serif" w:hAnsi="Times New Roman;serif"/>
                <w:b w:val="false"/>
                <w:i/>
                <w:color w:val="000000"/>
                <w:sz w:val="20"/>
              </w:rPr>
              <w:t xml:space="preserve">(in millions)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In connection with the completion of the Exact Sciences acquisition, unvested Exact Sciences restricted stock units were converted into Abbott restricted stock units, in accordance with the merger agreement. The number of restricted stock units converted was 1,476,916</w:t>
      </w:r>
      <w:r>
        <w:rPr>
          <w:color w:val="000000"/>
        </w:rPr>
        <w:t xml:space="preserve"> </w:t>
      </w:r>
      <w:r>
        <w:rPr>
          <w:rFonts w:ascii="Times New Roman;serif" w:hAnsi="Times New Roman;serif"/>
          <w:b w:val="false"/>
          <w:color w:val="000000"/>
          <w:sz w:val="20"/>
        </w:rPr>
        <w:t>at a fair value of $105.62.</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total unrecognized share-based compensation cost at March 31, 2026, amounted to $914 million, which is expected to be recognized over approximately the next three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10 — Debt and Lines of Credit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2026, Abbott issued $20.0 billion of debt to finance the acquisition of Exact Sciences, as follows: </w:t>
      </w:r>
    </w:p>
    <w:p>
      <w:pPr>
        <w:pStyle w:val="TextBody"/>
        <w:bidi w:val="0"/>
        <w:spacing w:before="0" w:after="0"/>
        <w:jc w:val="both"/>
        <w:rPr/>
      </w:pPr>
      <w:r>
        <w:rPr/>
      </w:r>
    </w:p>
    <w:tbl>
      <w:tblPr>
        <w:tblW w:w="4812" w:type="dxa"/>
        <w:jc w:val="left"/>
        <w:tblInd w:w="0" w:type="dxa"/>
        <w:tblLayout w:type="fixed"/>
        <w:tblCellMar>
          <w:top w:w="28" w:type="dxa"/>
          <w:left w:w="28" w:type="dxa"/>
          <w:bottom w:w="28" w:type="dxa"/>
          <w:right w:w="28" w:type="dxa"/>
        </w:tblCellMar>
      </w:tblPr>
      <w:tblGrid>
        <w:gridCol w:w="1114"/>
        <w:gridCol w:w="979"/>
        <w:gridCol w:w="982"/>
        <w:gridCol w:w="109"/>
        <w:gridCol w:w="109"/>
        <w:gridCol w:w="109"/>
        <w:gridCol w:w="303"/>
        <w:gridCol w:w="886"/>
        <w:gridCol w:w="221"/>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amount</w:t>
            </w:r>
          </w:p>
        </w:tc>
      </w:tr>
      <w:tr>
        <w:trPr/>
        <w:tc>
          <w:tcPr>
            <w:tcW w:w="3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SOFR+ 50 bp Senior notes due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3.700% Senior notes due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4.000% Senior notes due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4.300% Senior notes due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4.650% Senior notes due 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4.750% Senior notes due 2038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5.500% Senior notes due 2056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5.600% Senior notes due 2066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the acquisition, Abbott assumed approximately $2.8 billion of Exact Sciences’ debt, of which $1.4 billion was repaid in March 2026. The remaining debt is expected to be repaid in 2026.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15, 2025, Abbott repaid the $500 million outstanding principal amount of its 3.875% Notes upon maturity. On March 17, 2025, Abbott repaid the $1.0 billion outstanding principal amount of its 2.95% Notes upon maturity.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11 — Financial Instruments, Derivatives and Fair Value Measures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Abbott foreign subsidiaries enter into foreign currency forward exchange contracts to manage exposures to changes in foreign exchange rates, primarily for anticipated intercompany purchases by those subsidiaries whose functional currencies are not the U.S. dollar. These contracts, with gross notional amounts totaling $7.6 billion at March 31, 2026, and $7.4 billion at December 31, 2025, are designated as cash flow hedges of the variability of the cash flows due to changes in foreign exchange rates and are recorded at fair value. Accumulated gains and losses as of March 31, 2026, will be included in Cost of products sold at the time the products are sold, generally through the next twelve to eighteen months.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f454735e94df41c3a44babbae82e9fc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11 — Financial Instruments, Derivatives and Fair Value Measures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Abbott enters into foreign currency forward exchange contracts to manage currency exposures for foreign currency denominated third-party trade payables and receivables, and for intercompany loans and trade accounts payable where the receivable or payable is denominated in a currency other than the functional currency of the entity. For intercompany loans, the contracts require Abbott to sell or buy foreign currencies, primarily European currencies, in exchange for primarily U.S. dollars and other European currencies. For intercompany and trade payables and receivables, the currency exposures are primarily the U.S. dollar and European currencies. At March 31, 2026, and December 31, 2025, Abbott held the gross notional amounts of $12.6 billion and $13.1 billion, respectively, of such foreign currency forward exchange contracts.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Abbott has designated a yen-denominated, 5-year term loan of $577 million and $589 million as of March 31, 2026, and December 31, 2025, respectively, as a hedge of the net investment in certain foreign subsidiaries. The change in the value of the debt, which is due to changes in foreign exchange rates, is recorded in Accumulated other comprehensive income (loss), net of tax.</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Abbott is a party to interest rate hedge contracts to manage its exposure to changes in the fair value of fixed-rate debt. These contracts are designated as fair value hedges of the variability of the fair value of fixed-rate debt due to changes in the long-term benchmark interest rates. The effect of the hedge is to change a fixed-rate interest obligation to a variable rate for that portion of the debt. Abbott records the contracts at fair value and adjusts the carrying amount of the fixed-rate debt by an offsetting amount. At March 31, 2026, and December 31, 2025, Abbott had interest rate hedge contracts with a notional amount totaling $4.2 billion and $1.2 billion, respectively. The increase from December 31, 2025, was due to additional interest rate hedge contracts associated with fixed-rate debt issued as part of the Exact Sciences acquisition.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amounts and location of certain derivative and non-derivative financial instruments as of March 31, 2026, and December 31,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77"/>
        <w:gridCol w:w="499"/>
        <w:gridCol w:w="427"/>
        <w:gridCol w:w="109"/>
        <w:gridCol w:w="109"/>
        <w:gridCol w:w="109"/>
        <w:gridCol w:w="218"/>
        <w:gridCol w:w="469"/>
        <w:gridCol w:w="121"/>
        <w:gridCol w:w="109"/>
        <w:gridCol w:w="109"/>
        <w:gridCol w:w="109"/>
        <w:gridCol w:w="250"/>
        <w:gridCol w:w="538"/>
        <w:gridCol w:w="141"/>
        <w:gridCol w:w="109"/>
        <w:gridCol w:w="109"/>
        <w:gridCol w:w="109"/>
        <w:gridCol w:w="507"/>
        <w:gridCol w:w="342"/>
        <w:gridCol w:w="344"/>
        <w:gridCol w:w="109"/>
        <w:gridCol w:w="109"/>
        <w:gridCol w:w="109"/>
        <w:gridCol w:w="218"/>
        <w:gridCol w:w="469"/>
        <w:gridCol w:w="121"/>
        <w:gridCol w:w="109"/>
        <w:gridCol w:w="109"/>
        <w:gridCol w:w="109"/>
        <w:gridCol w:w="250"/>
        <w:gridCol w:w="538"/>
        <w:gridCol w:w="141"/>
        <w:gridCol w:w="109"/>
        <w:gridCol w:w="109"/>
        <w:gridCol w:w="109"/>
        <w:gridCol w:w="711"/>
        <w:gridCol w:w="664"/>
        <w:gridCol w:w="598"/>
      </w:tblGrid>
      <w:tr>
        <w:trPr/>
        <w:tc>
          <w:tcPr>
            <w:tcW w:w="67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 Liabilities</w:t>
            </w:r>
          </w:p>
        </w:tc>
      </w:tr>
      <w:tr>
        <w:trPr/>
        <w:tc>
          <w:tcPr>
            <w:tcW w:w="1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Caption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Balance Sheet Caption</w:t>
            </w:r>
          </w:p>
        </w:tc>
      </w:tr>
      <w:tr>
        <w:trPr/>
        <w:tc>
          <w:tcPr>
            <w:tcW w:w="16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designated as fair value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Post-employment obligations, deferred income taxes, and other long-term liabilities</w:t>
            </w:r>
          </w:p>
        </w:tc>
      </w:tr>
      <w:tr>
        <w:trPr/>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r>
      <w:tr>
        <w:trPr/>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r>
      <w:tr>
        <w:trPr/>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Others not designated as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r>
      <w:tr>
        <w:trPr/>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designated as a hedge of net investment in a foreign subsidiary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r>
      <w:tr>
        <w:trPr/>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f454735e94df41c3a44babbae82e9fc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11 — Financial Instruments, Derivatives and Fair Value Measures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for foreign currency forward exchange contracts designated as cash flow hedges and certain other derivative financial instruments, as well as the amounts and location of income (expense) and gain (loss) reclassified into income.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70"/>
        <w:gridCol w:w="664"/>
        <w:gridCol w:w="672"/>
        <w:gridCol w:w="109"/>
        <w:gridCol w:w="109"/>
        <w:gridCol w:w="109"/>
        <w:gridCol w:w="279"/>
        <w:gridCol w:w="478"/>
        <w:gridCol w:w="144"/>
        <w:gridCol w:w="144"/>
        <w:gridCol w:w="144"/>
        <w:gridCol w:w="144"/>
        <w:gridCol w:w="279"/>
        <w:gridCol w:w="529"/>
        <w:gridCol w:w="144"/>
        <w:gridCol w:w="109"/>
        <w:gridCol w:w="498"/>
        <w:gridCol w:w="498"/>
        <w:gridCol w:w="499"/>
        <w:gridCol w:w="109"/>
        <w:gridCol w:w="109"/>
        <w:gridCol w:w="109"/>
        <w:gridCol w:w="211"/>
        <w:gridCol w:w="388"/>
        <w:gridCol w:w="109"/>
        <w:gridCol w:w="109"/>
        <w:gridCol w:w="109"/>
        <w:gridCol w:w="109"/>
        <w:gridCol w:w="211"/>
        <w:gridCol w:w="361"/>
        <w:gridCol w:w="109"/>
        <w:gridCol w:w="109"/>
        <w:gridCol w:w="109"/>
        <w:gridCol w:w="109"/>
        <w:gridCol w:w="109"/>
        <w:gridCol w:w="109"/>
        <w:gridCol w:w="109"/>
        <w:gridCol w:w="109"/>
        <w:gridCol w:w="371"/>
        <w:gridCol w:w="288"/>
        <w:gridCol w:w="418"/>
      </w:tblGrid>
      <w:tr>
        <w:trPr/>
        <w:tc>
          <w:tcPr>
            <w:tcW w:w="77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Gain (loss) Recognized in Other Comprehensive Income (loss)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Income (expense) and Gain (loss) Reclassified into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16"/>
            <w:tcBorders/>
          </w:tcPr>
          <w:p>
            <w:pPr>
              <w:pStyle w:val="TableContents"/>
              <w:bidi w:val="0"/>
              <w:spacing w:before="0" w:after="283"/>
              <w:jc w:val="left"/>
              <w:rPr>
                <w:sz w:val="4"/>
                <w:szCs w:val="4"/>
              </w:rPr>
            </w:pPr>
            <w:r>
              <w:rPr>
                <w:sz w:val="4"/>
                <w:szCs w:val="4"/>
              </w:rPr>
            </w:r>
          </w:p>
        </w:tc>
      </w:tr>
      <w:tr>
        <w:trPr/>
        <w:tc>
          <w:tcPr>
            <w:tcW w:w="2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8"/>
            <w:tcBorders/>
          </w:tcPr>
          <w:p>
            <w:pPr>
              <w:pStyle w:val="TableContents"/>
              <w:bidi w:val="0"/>
              <w:spacing w:before="0" w:after="283"/>
              <w:jc w:val="left"/>
              <w:rPr>
                <w:sz w:val="4"/>
                <w:szCs w:val="4"/>
              </w:rPr>
            </w:pPr>
            <w:r>
              <w:rPr>
                <w:sz w:val="4"/>
                <w:szCs w:val="4"/>
              </w:rPr>
            </w:r>
          </w:p>
        </w:tc>
      </w:tr>
      <w:tr>
        <w:trPr/>
        <w:tc>
          <w:tcPr>
            <w:tcW w:w="2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Income Statement Caption</w:t>
            </w:r>
          </w:p>
        </w:tc>
      </w:tr>
      <w:tr>
        <w:trPr/>
        <w:tc>
          <w:tcPr>
            <w:tcW w:w="21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exchange contracts designated as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designated as a hedge of net investment in a foreign subsidiary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designated as fair value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Gains of $45 million and $34 million were recognized in the three months ended March 31, 2026, and 2025, respectively, related to foreign currency forward exchange contracts not designated as a hedge. These amounts are reported in the Condensed Consolidated Statement of Earnings on the Net foreign exchange (gain) loss line.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carrying values and fair values of certain financial instruments as of March 31, 2026, and December 31, 2025, are shown in the following table. The carrying values of all other financial instruments approximate their estimated fair values. The counterparties to financial instruments consist of select major international financial institutions. Abbott does not expect any losses from non-performance by these counterparties.</w:t>
      </w:r>
    </w:p>
    <w:p>
      <w:pPr>
        <w:pStyle w:val="TextBody"/>
        <w:bidi w:val="0"/>
        <w:spacing w:before="0" w:after="0"/>
        <w:jc w:val="both"/>
        <w:rPr/>
      </w:pPr>
      <w:r>
        <w:rPr/>
      </w:r>
    </w:p>
    <w:tbl>
      <w:tblPr>
        <w:tblW w:w="9669" w:type="dxa"/>
        <w:jc w:val="left"/>
        <w:tblInd w:w="0" w:type="dxa"/>
        <w:tblLayout w:type="fixed"/>
        <w:tblCellMar>
          <w:top w:w="28" w:type="dxa"/>
          <w:left w:w="28" w:type="dxa"/>
          <w:bottom w:w="28" w:type="dxa"/>
          <w:right w:w="28" w:type="dxa"/>
        </w:tblCellMar>
      </w:tblPr>
      <w:tblGrid>
        <w:gridCol w:w="1446"/>
        <w:gridCol w:w="1266"/>
        <w:gridCol w:w="1277"/>
        <w:gridCol w:w="109"/>
        <w:gridCol w:w="109"/>
        <w:gridCol w:w="109"/>
        <w:gridCol w:w="334"/>
        <w:gridCol w:w="738"/>
        <w:gridCol w:w="172"/>
        <w:gridCol w:w="109"/>
        <w:gridCol w:w="109"/>
        <w:gridCol w:w="109"/>
        <w:gridCol w:w="247"/>
        <w:gridCol w:w="548"/>
        <w:gridCol w:w="122"/>
        <w:gridCol w:w="109"/>
        <w:gridCol w:w="109"/>
        <w:gridCol w:w="109"/>
        <w:gridCol w:w="334"/>
        <w:gridCol w:w="738"/>
        <w:gridCol w:w="172"/>
        <w:gridCol w:w="109"/>
        <w:gridCol w:w="109"/>
        <w:gridCol w:w="109"/>
        <w:gridCol w:w="247"/>
        <w:gridCol w:w="548"/>
        <w:gridCol w:w="172"/>
      </w:tblGrid>
      <w:tr>
        <w:trPr/>
        <w:tc>
          <w:tcPr>
            <w:tcW w:w="144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the debt was determined based on significant other observable inputs, including current interest rates.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f454735e94df41c3a44babbae82e9fc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11 — Financial Instruments, Derivatives and Fair Value Measures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bases used to measure certain assets and liabilities at fair value on a recurring basis in the balance sheet: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59"/>
        <w:gridCol w:w="795"/>
        <w:gridCol w:w="802"/>
        <w:gridCol w:w="109"/>
        <w:gridCol w:w="109"/>
        <w:gridCol w:w="109"/>
        <w:gridCol w:w="288"/>
        <w:gridCol w:w="846"/>
        <w:gridCol w:w="150"/>
        <w:gridCol w:w="109"/>
        <w:gridCol w:w="109"/>
        <w:gridCol w:w="109"/>
        <w:gridCol w:w="397"/>
        <w:gridCol w:w="878"/>
        <w:gridCol w:w="205"/>
        <w:gridCol w:w="109"/>
        <w:gridCol w:w="109"/>
        <w:gridCol w:w="109"/>
        <w:gridCol w:w="378"/>
        <w:gridCol w:w="1106"/>
        <w:gridCol w:w="195"/>
        <w:gridCol w:w="109"/>
        <w:gridCol w:w="109"/>
        <w:gridCol w:w="109"/>
        <w:gridCol w:w="427"/>
        <w:gridCol w:w="946"/>
        <w:gridCol w:w="325"/>
      </w:tblGrid>
      <w:tr>
        <w:trPr/>
        <w:tc>
          <w:tcPr>
            <w:tcW w:w="115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Basis of Fair Value Measurement</w:t>
            </w:r>
          </w:p>
        </w:tc>
      </w:tr>
      <w:tr>
        <w:trPr/>
        <w:tc>
          <w:tcPr>
            <w:tcW w:w="2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Outstanding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Quoted Prices in Active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Significant Other 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Significant Unobservable Inputs</w:t>
            </w:r>
          </w:p>
        </w:tc>
      </w:tr>
      <w:tr>
        <w:trPr/>
        <w:tc>
          <w:tcPr>
            <w:tcW w:w="2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hedged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related to business combinations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hedged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related to business combinations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foreign currency forward exchange contracts is determined using a market approach, which utilizes values for comparable derivative instruments. The fair value of debt was determined based on the face value of the debt adjusted for the fair value of the interest rate swaps, which is based on a discounted cash flow analysis using significant other observable inputs. The fair value of the contingent consideration was determined based on independent appraisals at the time of acquisition, adjusted for the time value of money and other changes in fair value. The increase in the amount of contingent consideration from December 31, 2025, reflects contingent consideration assumed with the acquisition of Exact Sciences.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12 — Litigation and Environmental Matters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Abbott has been identified as a potentially responsible party for investigation and cleanup costs at a number of locations in the United States and Puerto Rico under federal and state remediation laws and is investigating potential contamination at a number of company-owned locations. Abbott has recorded an estimated cleanup cost for each site for which management believes Abbott has a probable loss exposure. No individual site cleanup exposure is expected to exceed $4 million, and the aggregate cleanup exposure is not expected to exceed $10 million.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f454735e94df41c3a44babbae82e9fc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12 — Litigation and Environmental Matters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Abbott has been named as a defendant in a number of lawsuits alleging that its preterm infant formula and human milk fortifier products that contain cow’s milk ingredients cause an intestinal disease known as necrotizing enterocolitis (NEC) and inadequately warn about the risk of NEC. These lawsuits claim that certain preterm infants suffered injury or death as a result of contracting NEC. Several of these matters have progressed to a decision, with varying outcomes. In the first three federal Multidistrict Litigation (MDL) “bellwether” cases before the U.S. District Court for the Northern District of Illinois, Abbott prevailed on summary judgment. Outcomes in the state court cases have varied, ranging from a summary judgment ruling in Abbott’s favor to a plaintiff verdict awarding $495 million in damages. Several of these cases are at various stages of appeal. Abbott stands by its products and the information it provided about them. Separately, Abbott is a defendant in a civil qui tam lawsuit related, in part, to Abbott’s manufacturing of powdered infant formula products at its facility in Sturgis, Michigan in which the U.S. Department of Justice and several states have partially intervened, alleging violations of certain federal and state laws, including the Federal False Claims Act. Given the uncertainty as to the possible outcome in each of these matters, Abbott is unable to reasonably estimate a range of possible loss related to these matters and, therefore, no reserves have been recorded. </w:t>
      </w:r>
    </w:p>
    <w:p>
      <w:pPr>
        <w:pStyle w:val="TextBody"/>
        <w:bidi w:val="0"/>
        <w:spacing w:lineRule="auto" w:line="288" w:before="120" w:after="283"/>
        <w:jc w:val="both"/>
        <w:rPr/>
      </w:pPr>
      <w:r>
        <w:rPr>
          <w:rFonts w:ascii="Times New Roman;serif" w:hAnsi="Times New Roman;serif"/>
          <w:b w:val="false"/>
          <w:color w:val="000000"/>
          <w:sz w:val="20"/>
        </w:rPr>
        <w:t>Abbott is involved in various claims and legal proceedings, and Abbott estimates the range of possible loss for its legal proceedings and environmental exposures to be from approximately $115 million to $140 million. The recorded accrual balance at March 31, 2026, for these proceedings and exposures was approximately $120 million.</w:t>
      </w:r>
      <w:r>
        <w:rPr>
          <w:color w:val="EE2724"/>
        </w:rPr>
        <w:t xml:space="preserve"> </w:t>
      </w:r>
      <w:r>
        <w:rPr>
          <w:rFonts w:ascii="Times New Roman;serif" w:hAnsi="Times New Roman;serif"/>
          <w:b w:val="false"/>
          <w:color w:val="000000"/>
          <w:sz w:val="20"/>
        </w:rPr>
        <w:t>This accrual represents management’s best estimate of probable loss, as defined by FASB ASC No. 450, “Contingencies.” Within the next year, legal proceedings may occur that may result in a change in the estimated loss accrued by Abbott. While it is not feasible to predict the outcome of all such proceedings and exposures with certainty, management believes that their ultimate disposition should not have a material adverse effect on Abbott’s financial position, cash flows, or results of operations, except for the matters discussed in the second paragraph of this note, the resolution of which could be material to Abbott's financial position, cash flows, or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13 — Post-Employment Benefits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Retirement plans consist of defined benefit, defined contribution, and medical and dental plans. Net periodic benefit costs, other than service costs, are recognized in the Other (income) expense, net line of the Condensed Consolidated Statement of Earnings. Net costs recognized for Abbott’s major defined benefit plans and post-employment medical and dental benefit plans are as follows:</w:t>
      </w:r>
    </w:p>
    <w:tbl>
      <w:tblPr>
        <w:tblW w:w="10205" w:type="dxa"/>
        <w:jc w:val="left"/>
        <w:tblInd w:w="0" w:type="dxa"/>
        <w:tblLayout w:type="fixed"/>
        <w:tblCellMar>
          <w:top w:w="28" w:type="dxa"/>
          <w:left w:w="28" w:type="dxa"/>
          <w:bottom w:w="28" w:type="dxa"/>
          <w:right w:w="28" w:type="dxa"/>
        </w:tblCellMar>
      </w:tblPr>
      <w:tblGrid>
        <w:gridCol w:w="1085"/>
        <w:gridCol w:w="887"/>
        <w:gridCol w:w="890"/>
        <w:gridCol w:w="109"/>
        <w:gridCol w:w="109"/>
        <w:gridCol w:w="109"/>
        <w:gridCol w:w="231"/>
        <w:gridCol w:w="573"/>
        <w:gridCol w:w="128"/>
        <w:gridCol w:w="128"/>
        <w:gridCol w:w="128"/>
        <w:gridCol w:w="128"/>
        <w:gridCol w:w="231"/>
        <w:gridCol w:w="573"/>
        <w:gridCol w:w="128"/>
        <w:gridCol w:w="109"/>
        <w:gridCol w:w="548"/>
        <w:gridCol w:w="548"/>
        <w:gridCol w:w="789"/>
        <w:gridCol w:w="149"/>
        <w:gridCol w:w="149"/>
        <w:gridCol w:w="149"/>
        <w:gridCol w:w="268"/>
        <w:gridCol w:w="453"/>
        <w:gridCol w:w="149"/>
        <w:gridCol w:w="109"/>
        <w:gridCol w:w="109"/>
        <w:gridCol w:w="109"/>
        <w:gridCol w:w="196"/>
        <w:gridCol w:w="331"/>
        <w:gridCol w:w="109"/>
        <w:gridCol w:w="109"/>
        <w:gridCol w:w="109"/>
        <w:gridCol w:w="109"/>
        <w:gridCol w:w="167"/>
      </w:tblGrid>
      <w:tr>
        <w:trPr/>
        <w:tc>
          <w:tcPr>
            <w:tcW w:w="108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Plans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Medical and Dental Plans</w:t>
            </w:r>
          </w:p>
        </w:tc>
        <w:tc>
          <w:tcPr>
            <w:tcW w:w="2774" w:type="dxa"/>
            <w:gridSpan w:val="16"/>
            <w:tcBorders/>
          </w:tcPr>
          <w:p>
            <w:pPr>
              <w:pStyle w:val="TableContents"/>
              <w:bidi w:val="0"/>
              <w:spacing w:before="0" w:after="283"/>
              <w:jc w:val="left"/>
              <w:rPr>
                <w:sz w:val="4"/>
                <w:szCs w:val="4"/>
              </w:rPr>
            </w:pPr>
            <w:r>
              <w:rPr>
                <w:sz w:val="4"/>
                <w:szCs w:val="4"/>
              </w:rPr>
            </w:r>
          </w:p>
        </w:tc>
      </w:tr>
      <w:tr>
        <w:trPr/>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94" w:type="dxa"/>
            <w:gridSpan w:val="4"/>
            <w:tcBorders/>
          </w:tcPr>
          <w:p>
            <w:pPr>
              <w:pStyle w:val="TableContents"/>
              <w:bidi w:val="0"/>
              <w:spacing w:before="0" w:after="283"/>
              <w:jc w:val="left"/>
              <w:rPr>
                <w:sz w:val="4"/>
                <w:szCs w:val="4"/>
              </w:rPr>
            </w:pPr>
            <w:r>
              <w:rPr>
                <w:sz w:val="4"/>
                <w:szCs w:val="4"/>
              </w:rPr>
            </w:r>
          </w:p>
        </w:tc>
      </w:tr>
      <w:tr>
        <w:trPr/>
        <w:tc>
          <w:tcPr>
            <w:tcW w:w="2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cost - benefits earned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cost on projected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amortization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Actuarial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Prior service cost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cost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Abbott funds its domestic defined benefit plans according to U.S. Internal Revenue Service (IRS) funding limitations. International pension plans are funded according to similar regulations. In the first three months of 2025, $235 million was contributed to defined benefit plans. In the first three months of 2026 and 2025, $110 million and $75 million were contributed, respectively, to the post-employment medical and dental plans.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f454735e94df41c3a44babbae82e9fc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Note 14 — Taxes on Earnings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Taxes on earnings reflect the estimated annual effective rates and include charges for interest and penalties. In the first three months of 2026 and 2025, taxes on earnings include $17 million and $73 million, respectively, in excess tax benefits associated with share-based compensation. In the first three months of 2026 and 2025, taxes on earnings includes approximately $200 million of tax expense related to a deferred tax asset that was recognized as a significant non-cash tax benefit in a prior year. In the first three months of 2026, taxes on earnings also included approximately $50 million of net tax benefit as the result of the resolution of various tax positions related to prior years.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September 2023, Abbott received a Statutory Notice of Deficiency (SNOD) from the IRS for the 2019 Federal tax year in the amount of $417 million. The primary adjustments proposed in the SNOD relate to the reallocation of income between Abbott’s U.S. entities and its foreign affiliates. Abbott believes that the income reallocation adjustments proposed in the SNOD are without merit, in part because certain adjustments contradict methods that were agreed to with the IRS in prior audit periods. The SNOD also contains other proposed adjustments that Abbott believes are erroneous and unsupported. Abbott filed a petition with the U.S. Tax Court contesting the SNOD in December 2023.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June 2024, Abbott received a SNOD from the IRS for the 2017 and 2018 Federal tax years in the amount of $192 million. The matters proposed in the 2017/2018 SNOD are substantially similar to the income allocation adjustments included in the 2019 SNOD. Abbott filed a petition in September 2024 with the U.S. Tax Court contesting the 2017/2018 SNOD in a manner consistent with its petition for the 2019 SNOD.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October 2024, Abbott received a SNOD from the IRS for the 2020 Federal tax year assessing an additional $443 million of income tax. The primary adjustments proposed in the SNOD are substantially similar to the income allocation adjustments included in the 2017/2018 and 2019 SNODs. Abbott believes that the income reallocation adjustments proposed in the SNOD are without merit. The SNOD also contains other proposed adjustments and omissions that Abbott believes are erroneous and unsupported. In addition to the tax assessment for the 2020 tax year, the 2020 SNOD also contested a deduction for which an estimated $440 million cash tax benefit would be available in a different taxable year as allowed under applicable U.S. tax law. Abbott filed a petition with the U.S. Tax Court contesting the SNOD in December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Abbott and the IRS are in active discussions regarding several of the disputed items contained in the 2017 – 2020 SNODs.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July 2024, Abbott received a $413 million tax assessment from the Malaysian tax authorities for the 2023 tax year. The assessment applies a property capital gains tax on the value of the shares associated with the intercompany sale of an affiliate. Abbott believes the assessment of the Malaysian tax authority to be without merit. In October 2025, the Penang High Court upheld the assessment of the Malaysian tax authority. In October 2025, Abbott filed an appeal with the Malaysian Court of Appeals.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are numerous other income tax jurisdictions for which tax returns are not yet settled, none of which Abbott expects to be individually significant. Abbott intends to vigorously defend its filing positions in all jurisdictions in which it has unresolved tax matters through ongoing discussions with taxing administrations and/or through litigation as necessary. Abbott reserves for uncertain tax positions related to unresolved tax matters where Abbott’s tax filing position does not meet the standard for recognition of an income tax benefit. Abbott continues to believe that the amount of its recorded reserves for uncertain tax positions is appropriate. Reserves for interest and penalties are not significant.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Organization for Economic Cooperation &amp; Development (OECD) has proposed a two-pillared plan for a revised international tax system. Pillar 1 proposes to reallocate taxing rights among the jurisdictions in which in-scope multinational corporations operate. Pillar 2 proposes to assess a 15 percent minimum tax on the earnings of in-scope multinational corporations on a country-by-country basis. Numerous countries have enacted legislation to adopt the Pillar 2 model rules. On January 5, 2026, the OECD released administrative guidance that, when enacted, exempts U.S.-parented groups from the Pillar 2 minimum tax. Abbott continues to monitor legislative developments and assess any potential impacts on Abbott's operations for both the Pillar 1 and Pillar 2 proposals.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f454735e94df41c3a44babbae82e9fc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15 — Segment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Abbott’s principal business is the discovery, development, manufacture, and sale of a broad portfolio of healthcare products. Abbott’s products are generally sold directly to retailers, wholesalers, consumers, hospitals, healthcare facilities, laboratories, health systems, and government agencies throughout the world. On March 23, 2026, Abbott completed its acquisition of Exact Sciences. From the acquisition date, Abbott's results include Exact Sciences' results, which are reported within the Diagnostic Products segment as Cancer Diagnostics.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Abbott’s reportable segments are as follows:</w:t>
      </w:r>
    </w:p>
    <w:p>
      <w:pPr>
        <w:pStyle w:val="TextBody"/>
        <w:bidi w:val="0"/>
        <w:spacing w:lineRule="auto" w:line="288" w:before="120" w:after="283"/>
        <w:jc w:val="both"/>
        <w:rPr/>
      </w:pPr>
      <w:r>
        <w:rPr>
          <w:rFonts w:ascii="Times New Roman;serif" w:hAnsi="Times New Roman;serif"/>
          <w:b w:val="false"/>
          <w:i/>
          <w:color w:val="000000"/>
          <w:sz w:val="20"/>
        </w:rPr>
        <w:t xml:space="preserve">Established Pharmaceutical Products </w:t>
      </w:r>
      <w:r>
        <w:rPr>
          <w:color w:val="000000"/>
        </w:rPr>
        <w:t xml:space="preserve">— </w:t>
      </w:r>
      <w:r>
        <w:rPr>
          <w:rFonts w:ascii="Times New Roman;serif" w:hAnsi="Times New Roman;serif"/>
          <w:b w:val="false"/>
          <w:color w:val="000000"/>
          <w:sz w:val="20"/>
        </w:rPr>
        <w:t>International sales of a broad line of branded generic pharmaceutical and biologic products.</w:t>
      </w:r>
    </w:p>
    <w:p>
      <w:pPr>
        <w:pStyle w:val="TextBody"/>
        <w:bidi w:val="0"/>
        <w:spacing w:lineRule="auto" w:line="288" w:before="120" w:after="283"/>
        <w:jc w:val="both"/>
        <w:rPr/>
      </w:pPr>
      <w:r>
        <w:rPr>
          <w:rFonts w:ascii="Times New Roman;serif" w:hAnsi="Times New Roman;serif"/>
          <w:b w:val="false"/>
          <w:i/>
          <w:color w:val="000000"/>
          <w:sz w:val="20"/>
        </w:rPr>
        <w:t xml:space="preserve">Nutritional Products </w:t>
      </w:r>
      <w:r>
        <w:rPr>
          <w:color w:val="000000"/>
        </w:rPr>
        <w:t xml:space="preserve">— </w:t>
      </w:r>
      <w:r>
        <w:rPr>
          <w:rFonts w:ascii="Times New Roman;serif" w:hAnsi="Times New Roman;serif"/>
          <w:b w:val="false"/>
          <w:color w:val="000000"/>
          <w:sz w:val="20"/>
        </w:rPr>
        <w:t>Worldwide sales of a broad line of adult and pediatric nutritional products.</w:t>
      </w:r>
    </w:p>
    <w:p>
      <w:pPr>
        <w:pStyle w:val="TextBody"/>
        <w:bidi w:val="0"/>
        <w:spacing w:lineRule="auto" w:line="288" w:before="120" w:after="283"/>
        <w:jc w:val="both"/>
        <w:rPr/>
      </w:pPr>
      <w:r>
        <w:rPr>
          <w:rFonts w:ascii="Times New Roman;serif" w:hAnsi="Times New Roman;serif"/>
          <w:b w:val="false"/>
          <w:i/>
          <w:color w:val="000000"/>
          <w:sz w:val="20"/>
        </w:rPr>
        <w:t xml:space="preserve">Diagnostic Products </w:t>
      </w:r>
      <w:r>
        <w:rPr>
          <w:color w:val="000000"/>
        </w:rPr>
        <w:t xml:space="preserve">— </w:t>
      </w:r>
      <w:r>
        <w:rPr>
          <w:rFonts w:ascii="Times New Roman;serif" w:hAnsi="Times New Roman;serif"/>
          <w:b w:val="false"/>
          <w:color w:val="000000"/>
          <w:sz w:val="20"/>
        </w:rPr>
        <w:t>Worldwide sales of diagnostic systems, tests, and automated solutions. For segment reporting purposes, the Core Laboratory Diagnostics, Rapid and Molecular Diagnostics, and Cancer Diagnostics businesses are aggregated and reported as the Diagnostic Products segment.</w:t>
      </w:r>
    </w:p>
    <w:p>
      <w:pPr>
        <w:pStyle w:val="TextBody"/>
        <w:bidi w:val="0"/>
        <w:spacing w:lineRule="auto" w:line="288" w:before="120" w:after="283"/>
        <w:jc w:val="both"/>
        <w:rPr/>
      </w:pPr>
      <w:r>
        <w:rPr>
          <w:rFonts w:ascii="Times New Roman;serif" w:hAnsi="Times New Roman;serif"/>
          <w:b w:val="false"/>
          <w:i/>
          <w:color w:val="000000"/>
          <w:sz w:val="20"/>
        </w:rPr>
        <w:t>Medical Devices</w:t>
      </w:r>
      <w:r>
        <w:rPr>
          <w:color w:val="000000"/>
        </w:rPr>
        <w:t xml:space="preserve"> — </w:t>
      </w:r>
      <w:r>
        <w:rPr>
          <w:rFonts w:ascii="Times New Roman;serif" w:hAnsi="Times New Roman;serif"/>
          <w:b w:val="false"/>
          <w:color w:val="000000"/>
          <w:sz w:val="20"/>
        </w:rPr>
        <w:t>Worldwide sales of rhythm management, electrophysiology, heart failure, vascular, structural heart, neuromodulation, and diabetes care products. For segment reporting purposes, the Rhythm Management, Electrophysiology, Heart Failure, Vascular, Structural Heart, Neuromodulation, and Diabetes Care businesses are aggregated and reported as the Medical Devices segment.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Abbott’s underlying accounting records are maintained on a legal entity basis for government and public reporting requirements. Segment disclosures are on a performance basis consistent with internal management reporting. The chief operating decision maker (CODM) at Abbott is the Chief Executive Officer. The CODM primarily considers sales and operating margin to assess the performance of segments and to allocate resources, where segment operating margin profitability includes cost of products sold and operating expenses. The cost of some corporate functions and the cost of certain employee benefits are charged to segments at predetermined rates that approximate cost. Remaining costs, if any, are not allocated to segments. In addition, intangible asset amortization is not allocated to operating segments, and intangible assets and goodwill are not included in the measure of each segment’s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segment information has been prepared in accordance with the internal accounting policies of Abbott, as described above, and is not presented in accordance with generally accepted accounting principles applied to the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f454735e94df41c3a44babbae82e9fc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15 — Segment Information (Continued)</w:t>
      </w:r>
    </w:p>
    <w:tbl>
      <w:tblPr>
        <w:tblW w:w="11956" w:type="dxa"/>
        <w:jc w:val="left"/>
        <w:tblInd w:w="0" w:type="dxa"/>
        <w:tblLayout w:type="fixed"/>
        <w:tblCellMar>
          <w:top w:w="28" w:type="dxa"/>
          <w:left w:w="28" w:type="dxa"/>
          <w:bottom w:w="28" w:type="dxa"/>
          <w:right w:w="28" w:type="dxa"/>
        </w:tblCellMar>
      </w:tblPr>
      <w:tblGrid>
        <w:gridCol w:w="379"/>
        <w:gridCol w:w="334"/>
        <w:gridCol w:w="338"/>
        <w:gridCol w:w="109"/>
        <w:gridCol w:w="109"/>
        <w:gridCol w:w="109"/>
        <w:gridCol w:w="181"/>
        <w:gridCol w:w="541"/>
        <w:gridCol w:w="109"/>
        <w:gridCol w:w="109"/>
        <w:gridCol w:w="109"/>
        <w:gridCol w:w="109"/>
        <w:gridCol w:w="181"/>
        <w:gridCol w:w="541"/>
        <w:gridCol w:w="109"/>
        <w:gridCol w:w="109"/>
        <w:gridCol w:w="109"/>
        <w:gridCol w:w="109"/>
        <w:gridCol w:w="181"/>
        <w:gridCol w:w="481"/>
        <w:gridCol w:w="109"/>
        <w:gridCol w:w="109"/>
        <w:gridCol w:w="109"/>
        <w:gridCol w:w="109"/>
        <w:gridCol w:w="181"/>
        <w:gridCol w:w="481"/>
        <w:gridCol w:w="109"/>
        <w:gridCol w:w="109"/>
        <w:gridCol w:w="109"/>
        <w:gridCol w:w="109"/>
        <w:gridCol w:w="181"/>
        <w:gridCol w:w="376"/>
        <w:gridCol w:w="109"/>
        <w:gridCol w:w="109"/>
        <w:gridCol w:w="109"/>
        <w:gridCol w:w="109"/>
        <w:gridCol w:w="181"/>
        <w:gridCol w:w="376"/>
        <w:gridCol w:w="109"/>
        <w:gridCol w:w="109"/>
        <w:gridCol w:w="109"/>
        <w:gridCol w:w="109"/>
        <w:gridCol w:w="181"/>
        <w:gridCol w:w="481"/>
        <w:gridCol w:w="109"/>
        <w:gridCol w:w="109"/>
        <w:gridCol w:w="109"/>
        <w:gridCol w:w="109"/>
        <w:gridCol w:w="181"/>
        <w:gridCol w:w="481"/>
        <w:gridCol w:w="109"/>
        <w:gridCol w:w="109"/>
        <w:gridCol w:w="109"/>
        <w:gridCol w:w="109"/>
        <w:gridCol w:w="181"/>
        <w:gridCol w:w="466"/>
        <w:gridCol w:w="109"/>
        <w:gridCol w:w="109"/>
        <w:gridCol w:w="109"/>
        <w:gridCol w:w="109"/>
        <w:gridCol w:w="181"/>
        <w:gridCol w:w="466"/>
        <w:gridCol w:w="154"/>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Net Sales to External Customers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Cost of Products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Operating Earnings</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2"/>
              </w:rPr>
            </w:pPr>
            <w:r>
              <w:rPr>
                <w:rFonts w:ascii="Times New Roman;serif" w:hAnsi="Times New Roman;serif"/>
                <w:b/>
                <w:color w:val="000000"/>
                <w:sz w:val="12"/>
              </w:rPr>
              <w:t>Three Months Ended March 31,</w:t>
            </w:r>
          </w:p>
        </w:tc>
      </w:tr>
      <w:tr>
        <w:trPr/>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2"/>
              </w:rPr>
            </w:pPr>
            <w:r>
              <w:rPr>
                <w:rFonts w:ascii="Times New Roman;serif" w:hAnsi="Times New Roman;serif"/>
                <w:b/>
                <w:color w:val="000000"/>
                <w:sz w:val="12"/>
              </w:rPr>
              <w:t>2025</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Established Pharmaceuticals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Nutritional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394 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Diagnostic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Medical Devices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1,609 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(4,789)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(4,443)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(2,606)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2,660 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Corporate functions and plan benefit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Other, net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Earnings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___________________________________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Approximately 45 percent of the annual net cost of share-based awards will typically be recognized in the first quarter due to the timing of the granting of share-based awards. The first quarter of 2026 included $321 million of stock compensation expense related to the cash out of equity awards in connection with the Exact Sciences acquisition, per the terms of the merger agreement.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net for the three months ended March 31, 2026, includes costs related to the acquisition of Exact Sciences and restructuring charges. Other, net for the three months ended March 31, 2025, includes restructuring charges, investment impairments, and fair value adjustments to contingent consideration.</w:t>
            </w:r>
          </w:p>
        </w:tc>
      </w:tr>
    </w:tbl>
    <w:tbl>
      <w:tblPr>
        <w:tblW w:w="6738" w:type="dxa"/>
        <w:jc w:val="left"/>
        <w:tblInd w:w="0" w:type="dxa"/>
        <w:tblLayout w:type="fixed"/>
        <w:tblCellMar>
          <w:top w:w="28" w:type="dxa"/>
          <w:left w:w="28" w:type="dxa"/>
          <w:bottom w:w="28" w:type="dxa"/>
          <w:right w:w="28" w:type="dxa"/>
        </w:tblCellMar>
      </w:tblPr>
      <w:tblGrid>
        <w:gridCol w:w="634"/>
        <w:gridCol w:w="558"/>
        <w:gridCol w:w="563"/>
        <w:gridCol w:w="109"/>
        <w:gridCol w:w="109"/>
        <w:gridCol w:w="109"/>
        <w:gridCol w:w="218"/>
        <w:gridCol w:w="435"/>
        <w:gridCol w:w="131"/>
        <w:gridCol w:w="131"/>
        <w:gridCol w:w="131"/>
        <w:gridCol w:w="131"/>
        <w:gridCol w:w="218"/>
        <w:gridCol w:w="435"/>
        <w:gridCol w:w="131"/>
        <w:gridCol w:w="109"/>
        <w:gridCol w:w="109"/>
        <w:gridCol w:w="109"/>
        <w:gridCol w:w="256"/>
        <w:gridCol w:w="511"/>
        <w:gridCol w:w="154"/>
        <w:gridCol w:w="154"/>
        <w:gridCol w:w="154"/>
        <w:gridCol w:w="154"/>
        <w:gridCol w:w="256"/>
        <w:gridCol w:w="511"/>
        <w:gridCol w:w="218"/>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Additions to Property and Equipment</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Three Months Ended March 31,</w:t>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1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Established Pharmaceuticals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Nutritional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79 </w:t>
            </w:r>
          </w:p>
        </w:tc>
        <w:tc>
          <w:tcPr>
            <w:tcW w:w="21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Diagnostic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135 </w:t>
            </w:r>
          </w:p>
        </w:tc>
        <w:tc>
          <w:tcPr>
            <w:tcW w:w="21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Medical Devices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156 </w:t>
            </w:r>
          </w:p>
        </w:tc>
        <w:tc>
          <w:tcPr>
            <w:tcW w:w="2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60 </w:t>
            </w:r>
          </w:p>
        </w:tc>
        <w:tc>
          <w:tcPr>
            <w:tcW w:w="2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381 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463 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5617" w:type="dxa"/>
        <w:jc w:val="left"/>
        <w:tblInd w:w="0" w:type="dxa"/>
        <w:tblLayout w:type="fixed"/>
        <w:tblCellMar>
          <w:top w:w="28" w:type="dxa"/>
          <w:left w:w="28" w:type="dxa"/>
          <w:bottom w:w="28" w:type="dxa"/>
          <w:right w:w="28" w:type="dxa"/>
        </w:tblCellMar>
      </w:tblPr>
      <w:tblGrid>
        <w:gridCol w:w="726"/>
        <w:gridCol w:w="639"/>
        <w:gridCol w:w="645"/>
        <w:gridCol w:w="109"/>
        <w:gridCol w:w="109"/>
        <w:gridCol w:w="109"/>
        <w:gridCol w:w="272"/>
        <w:gridCol w:w="928"/>
        <w:gridCol w:w="164"/>
        <w:gridCol w:w="109"/>
        <w:gridCol w:w="109"/>
        <w:gridCol w:w="109"/>
        <w:gridCol w:w="328"/>
        <w:gridCol w:w="982"/>
        <w:gridCol w:w="279"/>
      </w:tblGrid>
      <w:tr>
        <w:trPr/>
        <w:tc>
          <w:tcPr>
            <w:tcW w:w="72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Total Assets</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As of 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4"/>
              </w:rPr>
            </w:pPr>
            <w:r>
              <w:rPr>
                <w:rFonts w:ascii="Times New Roman;serif" w:hAnsi="Times New Roman;serif"/>
                <w:b/>
                <w:color w:val="000000"/>
                <w:sz w:val="14"/>
              </w:rPr>
              <w:t>As of December 31, 2025</w:t>
            </w:r>
          </w:p>
        </w:tc>
      </w:tr>
      <w:tr>
        <w:trPr/>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Established Pharmaceuticals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3,665 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42424"/>
                <w:sz w:val="14"/>
              </w:rPr>
            </w:pPr>
            <w:r>
              <w:rPr>
                <w:rFonts w:ascii="Times New Roman;serif" w:hAnsi="Times New Roman;serif"/>
                <w:b w:val="false"/>
                <w:color w:val="242424"/>
                <w:sz w:val="14"/>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42424"/>
                <w:sz w:val="14"/>
              </w:rPr>
            </w:pPr>
            <w:r>
              <w:rPr>
                <w:rFonts w:ascii="Times New Roman;serif" w:hAnsi="Times New Roman;serif"/>
                <w:b w:val="false"/>
                <w:color w:val="242424"/>
                <w:sz w:val="14"/>
              </w:rPr>
              <w:t>3,540 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Nutritional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4,903 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42424"/>
                <w:sz w:val="14"/>
              </w:rPr>
            </w:pPr>
            <w:r>
              <w:rPr>
                <w:rFonts w:ascii="Times New Roman;serif" w:hAnsi="Times New Roman;serif"/>
                <w:b w:val="false"/>
                <w:color w:val="242424"/>
                <w:sz w:val="14"/>
              </w:rPr>
              <w:t>4,791 </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Diagnostic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9,631 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42424"/>
                <w:sz w:val="14"/>
              </w:rPr>
            </w:pPr>
            <w:r>
              <w:rPr>
                <w:rFonts w:ascii="Times New Roman;serif" w:hAnsi="Times New Roman;serif"/>
                <w:b w:val="false"/>
                <w:color w:val="242424"/>
                <w:sz w:val="14"/>
              </w:rPr>
              <w:t>8,273 </w:t>
            </w:r>
          </w:p>
        </w:tc>
        <w:tc>
          <w:tcPr>
            <w:tcW w:w="2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Medical Devices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10,983 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42424"/>
                <w:sz w:val="14"/>
              </w:rPr>
            </w:pPr>
            <w:r>
              <w:rPr>
                <w:rFonts w:ascii="Times New Roman;serif" w:hAnsi="Times New Roman;serif"/>
                <w:b w:val="false"/>
                <w:color w:val="242424"/>
                <w:sz w:val="14"/>
              </w:rPr>
              <w:t>10,689 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Reportable Segment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29,182 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42424"/>
                <w:sz w:val="14"/>
              </w:rPr>
            </w:pPr>
            <w:r>
              <w:rPr>
                <w:rFonts w:ascii="Times New Roman;serif" w:hAnsi="Times New Roman;serif"/>
                <w:b w:val="false"/>
                <w:color w:val="242424"/>
                <w:sz w:val="14"/>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42424"/>
                <w:sz w:val="14"/>
              </w:rPr>
            </w:pPr>
            <w:r>
              <w:rPr>
                <w:rFonts w:ascii="Times New Roman;serif" w:hAnsi="Times New Roman;serif"/>
                <w:b w:val="false"/>
                <w:color w:val="242424"/>
                <w:sz w:val="14"/>
              </w:rPr>
              <w:t>27,293 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8,385 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42424"/>
                <w:sz w:val="14"/>
              </w:rPr>
            </w:pPr>
            <w:r>
              <w:rPr>
                <w:rFonts w:ascii="Times New Roman;serif" w:hAnsi="Times New Roman;serif"/>
                <w:b w:val="false"/>
                <w:color w:val="242424"/>
                <w:sz w:val="14"/>
              </w:rPr>
              <w:t>9,857 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Goodwill and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53,096 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42424"/>
                <w:sz w:val="14"/>
              </w:rPr>
            </w:pPr>
            <w:r>
              <w:rPr>
                <w:rFonts w:ascii="Times New Roman;serif" w:hAnsi="Times New Roman;serif"/>
                <w:b w:val="false"/>
                <w:color w:val="242424"/>
                <w:sz w:val="14"/>
              </w:rPr>
              <w:t>29,561 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All other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19,766 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42424"/>
                <w:sz w:val="14"/>
              </w:rPr>
            </w:pPr>
            <w:r>
              <w:rPr>
                <w:rFonts w:ascii="Times New Roman;serif" w:hAnsi="Times New Roman;serif"/>
                <w:b w:val="false"/>
                <w:color w:val="242424"/>
                <w:sz w:val="14"/>
              </w:rPr>
              <w:t>20,002 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110,429 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242424"/>
                <w:sz w:val="14"/>
              </w:rPr>
            </w:pPr>
            <w:r>
              <w:rPr>
                <w:rFonts w:ascii="Times New Roman;serif" w:hAnsi="Times New Roman;serif"/>
                <w:b w:val="false"/>
                <w:color w:val="242424"/>
                <w:sz w:val="14"/>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242424"/>
                <w:sz w:val="14"/>
              </w:rPr>
            </w:pPr>
            <w:r>
              <w:rPr>
                <w:rFonts w:ascii="Times New Roman;serif" w:hAnsi="Times New Roman;serif"/>
                <w:b w:val="false"/>
                <w:color w:val="242424"/>
                <w:sz w:val="14"/>
              </w:rPr>
              <w:t>86,713 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 of March 31, 2026, and December 31, 2025, all other includes the long-term assets associated with the defined benefit plans and certain deferred tax assets.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40" w:after="283"/>
        <w:jc w:val="left"/>
        <w:rPr/>
      </w:pPr>
      <w:hyperlink w:anchor="if454735e94df41c3a44babbae82e9fc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Financial Review —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Abbott’s revenues are derived primarily from the sale of a broad portfolio of healthcare products under short-term receivable arrangements. Patent protection and licenses, technological and performance features, and inclusion of Abbott’s products under a contract most significantly impact which products are sold; price controls, competition, and rebates most significantly impact the net selling prices of products; and foreign currency translation impacts the measurement of net sales and costs. Abbott’s primary products are medical devices, diagnostic testing products, nutritional products, and branded generic pharmaceuticals.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detail sales by reportable segment for the three months ended March 31. Percent changes are versus the prior year and are based on unrounded numbers.</w:t>
      </w:r>
    </w:p>
    <w:tbl>
      <w:tblPr>
        <w:tblW w:w="10205" w:type="dxa"/>
        <w:jc w:val="left"/>
        <w:tblInd w:w="0" w:type="dxa"/>
        <w:tblLayout w:type="fixed"/>
        <w:tblCellMar>
          <w:top w:w="28" w:type="dxa"/>
          <w:left w:w="28" w:type="dxa"/>
          <w:bottom w:w="28" w:type="dxa"/>
          <w:right w:w="28" w:type="dxa"/>
        </w:tblCellMar>
      </w:tblPr>
      <w:tblGrid>
        <w:gridCol w:w="736"/>
        <w:gridCol w:w="645"/>
        <w:gridCol w:w="650"/>
        <w:gridCol w:w="109"/>
        <w:gridCol w:w="109"/>
        <w:gridCol w:w="109"/>
        <w:gridCol w:w="254"/>
        <w:gridCol w:w="871"/>
        <w:gridCol w:w="131"/>
        <w:gridCol w:w="109"/>
        <w:gridCol w:w="109"/>
        <w:gridCol w:w="109"/>
        <w:gridCol w:w="254"/>
        <w:gridCol w:w="871"/>
        <w:gridCol w:w="131"/>
        <w:gridCol w:w="109"/>
        <w:gridCol w:w="109"/>
        <w:gridCol w:w="109"/>
        <w:gridCol w:w="255"/>
        <w:gridCol w:w="256"/>
        <w:gridCol w:w="459"/>
        <w:gridCol w:w="109"/>
        <w:gridCol w:w="109"/>
        <w:gridCol w:w="109"/>
        <w:gridCol w:w="324"/>
        <w:gridCol w:w="295"/>
        <w:gridCol w:w="742"/>
        <w:gridCol w:w="109"/>
        <w:gridCol w:w="109"/>
        <w:gridCol w:w="109"/>
        <w:gridCol w:w="379"/>
        <w:gridCol w:w="334"/>
        <w:gridCol w:w="983"/>
      </w:tblGrid>
      <w:tr>
        <w:trPr/>
        <w:tc>
          <w:tcPr>
            <w:tcW w:w="73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r>
      <w:tr>
        <w:trPr/>
        <w:tc>
          <w:tcPr>
            <w:tcW w:w="2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Sales to External Customers</w:t>
            </w:r>
          </w:p>
        </w:tc>
      </w:tr>
      <w:tr>
        <w:trPr/>
        <w:tc>
          <w:tcPr>
            <w:tcW w:w="2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Impact of 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Change Excl. Foreign Exchange</w:t>
            </w:r>
          </w:p>
        </w:tc>
      </w:tr>
      <w:tr>
        <w:trPr/>
        <w:tc>
          <w:tcPr>
            <w:tcW w:w="2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Established Pharmaceutical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Nutritional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Diagnostic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7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9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Medical Devices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7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9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7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9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9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6,890 </w:t>
            </w:r>
          </w:p>
        </w:tc>
        <w:tc>
          <w:tcPr>
            <w:tcW w:w="1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6,190 </w:t>
            </w:r>
          </w:p>
        </w:tc>
        <w:tc>
          <w:tcPr>
            <w:tcW w:w="1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7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9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10205" w:type="dxa"/>
        <w:jc w:val="left"/>
        <w:tblInd w:w="0" w:type="dxa"/>
        <w:tblLayout w:type="fixed"/>
        <w:tblCellMar>
          <w:top w:w="28" w:type="dxa"/>
          <w:left w:w="28" w:type="dxa"/>
          <w:bottom w:w="28" w:type="dxa"/>
          <w:right w:w="28" w:type="dxa"/>
        </w:tblCellMar>
      </w:tblPr>
      <w:tblGrid>
        <w:gridCol w:w="202"/>
        <w:gridCol w:w="177"/>
        <w:gridCol w:w="178"/>
        <w:gridCol w:w="2822"/>
        <w:gridCol w:w="2822"/>
        <w:gridCol w:w="4004"/>
      </w:tblGrid>
      <w:tr>
        <w:trPr/>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c>
          <w:tcPr>
            <w:tcW w:w="4004" w:type="dxa"/>
            <w:tcBorders/>
            <w:vAlign w:val="center"/>
          </w:tcPr>
          <w:p>
            <w:pPr>
              <w:pStyle w:val="TableContents"/>
              <w:bidi w:val="0"/>
              <w:spacing w:before="0" w:after="283"/>
              <w:jc w:val="left"/>
              <w:rPr>
                <w:sz w:val="4"/>
                <w:szCs w:val="4"/>
              </w:rPr>
            </w:pPr>
            <w:r>
              <w:rPr>
                <w:sz w:val="4"/>
                <w:szCs w:val="4"/>
              </w:rPr>
            </w:r>
          </w:p>
        </w:tc>
      </w:tr>
      <w:tr>
        <w:trPr/>
        <w:tc>
          <w:tcPr>
            <w:tcW w:w="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w:t>
            </w:r>
          </w:p>
        </w:tc>
        <w:tc>
          <w:tcPr>
            <w:tcW w:w="9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order to compute results excluding the impact of exchange rates, current year U.S. dollar sales are multiplied or divided, as appropriate, by the current year average foreign exchange rates and then those amounts are multiplied or divided, as appropriate, by the prior year average foreign exchange rates.</w:t>
            </w:r>
          </w:p>
        </w:tc>
      </w:tr>
      <w:tr>
        <w:trPr/>
        <w:tc>
          <w:tcPr>
            <w:tcW w:w="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n/m = Percent change is not meaningful</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3.8 percent increase in total net sales during the first quarter of 2026, excluding the impact of foreign exchange, primarily reflected higher product sales in the Medical Devices and Established Pharmaceutical Products segments. Nutritional Products sales primarily declined due to lower sales volumes compared to the prior year. Diagnostic Products sales reflect the acquisition of Exact Sciences Corporation (Exact Sciences), which was completed on March 23, 2026, with sales from the acquisition reported in the Diagnostic Products segment as Cancer Diagnostics from the date of acquisition. On a reported basis, net sales were favorably impacted by foreign exchange as the relatively weaker U.S. dollar increased total international sales by 6.7 percent and total sales by 4.0 percent.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40" w:after="283"/>
        <w:jc w:val="left"/>
        <w:rPr/>
      </w:pPr>
      <w:hyperlink w:anchor="if454735e94df41c3a44babbae82e9fc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provides detail by sales category for the three months ended March 31. Percent changes are versus the prior year and are based on unrounded numbers.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45"/>
        <w:gridCol w:w="688"/>
        <w:gridCol w:w="693"/>
        <w:gridCol w:w="109"/>
        <w:gridCol w:w="109"/>
        <w:gridCol w:w="109"/>
        <w:gridCol w:w="240"/>
        <w:gridCol w:w="702"/>
        <w:gridCol w:w="123"/>
        <w:gridCol w:w="109"/>
        <w:gridCol w:w="109"/>
        <w:gridCol w:w="109"/>
        <w:gridCol w:w="262"/>
        <w:gridCol w:w="579"/>
        <w:gridCol w:w="135"/>
        <w:gridCol w:w="109"/>
        <w:gridCol w:w="109"/>
        <w:gridCol w:w="109"/>
        <w:gridCol w:w="273"/>
        <w:gridCol w:w="276"/>
        <w:gridCol w:w="464"/>
        <w:gridCol w:w="109"/>
        <w:gridCol w:w="109"/>
        <w:gridCol w:w="109"/>
        <w:gridCol w:w="329"/>
        <w:gridCol w:w="302"/>
        <w:gridCol w:w="758"/>
        <w:gridCol w:w="109"/>
        <w:gridCol w:w="109"/>
        <w:gridCol w:w="109"/>
        <w:gridCol w:w="448"/>
        <w:gridCol w:w="342"/>
        <w:gridCol w:w="1011"/>
      </w:tblGrid>
      <w:tr>
        <w:trPr/>
        <w:tc>
          <w:tcPr>
            <w:tcW w:w="94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Impact of 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Change Excl. Foreign Exchange</w:t>
            </w:r>
          </w:p>
        </w:tc>
      </w:tr>
      <w:tr>
        <w:trPr/>
        <w:tc>
          <w:tcPr>
            <w:tcW w:w="23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Established Pharmaceutical Products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Key Emerging Markets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Emerging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7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Nutritional Products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Pediatric Nutritionals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Pediatric Nutritionals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Adult Nutritionals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Adult Nutritionals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Diagnostic Products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Laboratory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Rapid and Molecular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7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Cancer Diagnostics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Medical Devices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Rhythm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7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Electrophysiology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Heart Failure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7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Vascular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Structural Heart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7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Neuromodulation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Diabetes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7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___________________________________ </w:t>
      </w:r>
    </w:p>
    <w:tbl>
      <w:tblPr>
        <w:tblW w:w="10205" w:type="dxa"/>
        <w:jc w:val="left"/>
        <w:tblInd w:w="0" w:type="dxa"/>
        <w:tblLayout w:type="fixed"/>
        <w:tblCellMar>
          <w:top w:w="28" w:type="dxa"/>
          <w:left w:w="28" w:type="dxa"/>
          <w:bottom w:w="28" w:type="dxa"/>
          <w:right w:w="28" w:type="dxa"/>
        </w:tblCellMar>
      </w:tblPr>
      <w:tblGrid>
        <w:gridCol w:w="191"/>
        <w:gridCol w:w="168"/>
        <w:gridCol w:w="170"/>
        <w:gridCol w:w="2834"/>
        <w:gridCol w:w="2834"/>
        <w:gridCol w:w="4008"/>
      </w:tblGrid>
      <w:tr>
        <w:trPr/>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4008" w:type="dxa"/>
            <w:tcBorders/>
            <w:vAlign w:val="center"/>
          </w:tcPr>
          <w:p>
            <w:pPr>
              <w:pStyle w:val="TableContents"/>
              <w:bidi w:val="0"/>
              <w:spacing w:before="0" w:after="283"/>
              <w:jc w:val="left"/>
              <w:rPr>
                <w:sz w:val="4"/>
                <w:szCs w:val="4"/>
              </w:rPr>
            </w:pPr>
            <w:r>
              <w:rPr>
                <w:sz w:val="4"/>
                <w:szCs w:val="4"/>
              </w:rPr>
            </w:r>
          </w:p>
        </w:tc>
      </w:tr>
      <w:tr>
        <w:trPr/>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Notes:</w:t>
            </w:r>
          </w:p>
        </w:tc>
        <w:tc>
          <w:tcPr>
            <w:tcW w:w="96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Abbott's Amplatzer Amulet Left Atrial Appendage Occluder device and related accessories were transferred from Structural Heart to Electrophysiology on January 1, 2026. As a result, $46 million of sales in the first quarter of 2025 were reclassified from Structural Heart to Electrophysiology.</w:t>
            </w:r>
          </w:p>
        </w:tc>
      </w:tr>
      <w:tr>
        <w:trPr/>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in 2026, Abbott aggregated its previously reported Rapid Diagnostics, Molecular Diagnostics, and Point of Care businesses into the Rapid and Molecular Diagnostics business.</w:t>
            </w:r>
          </w:p>
        </w:tc>
      </w:tr>
      <w:tr>
        <w:trPr/>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On March 23, 2026, Abbott completed the acquisition of Exact Sciences. Following the acquisition, the sales of Exact Sciences are presented as Abbott's Cancer Diagnostics business.</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three months of 2026, total Established Pharmaceutical Products sales, excluding the impact of foreign exchange, increased 9.0 percent. Excluding the favorable effect of foreign exchange, sales in Key Emerging Markets for Established Pharmaceutical Products increased 9.4 percent in the first three months of 2026, led by double-digit growth in several countries across the Latin America and Asia Pacific regions. Other Emerging Markets, excluding the effect of foreign exchange, increased 7.9 percent in the first three months of 2026.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Excluding the impact of foreign exchange, total Nutritional Products sales in the first three months of 2026 decreased 7.7 percent. The decline primarily reflected lower sales volumes across both pediatric and adult nutritional product portfolios in the U.S. and internationally.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first three months of 2026, Diagnostic Products sales increased 2.5 percent, excluding the impact of foreign exchange. Growth in Core Laboratory and the inclusion of Exact Sciences' results were partially offset by a decline in Rapid and Molecular Diagnostics. Cancer Diagnostics results include Exact Sciences' net sales of $96 million from the acquisition date of March 23,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40" w:after="283"/>
        <w:jc w:val="left"/>
        <w:rPr/>
      </w:pPr>
      <w:hyperlink w:anchor="if454735e94df41c3a44babbae82e9fc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In Core Laboratory, sales increased 3.3 percent in the first three months of 2026, excluding the impact of foreign exchange, reflecting continued growth of diagnostic test sales on the Alinity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platform across the U.S., Europe, and Latin America, partially offset by lower sales in China due to continued challenging market conditions. In Rapid and Molecular Diagnostics, sales decreased 9.6 percent in the first three months of 2026, excluding the impact of foreign exchange, primarily reflecting lower demand for respiratory virus tests due to a weaker respiratory virus season compared to the prior year.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Excluding the impact of foreign exchange, total Medical Devices sales increased 8.1 percent in the first three months of 2026, led by double</w:t>
        <w:noBreakHyphen/>
        <w:t>digit growth in Rhythm Management, Electrophysiology, and Heart Failure. Diabetes Care sales increased 7.4 percent, excluding the impact of foreign exchange, driven by continued growth in Abbott’s continuous glucose monitoring (CGM) systems in the U.S. and internationally. CGM systems sales totaled $2.0 billion and $1.7 billion in the first three months of 2026 and 2025, respectively, and increased 7.6 percent excluding the impact of foreign exchange.</w:t>
      </w:r>
    </w:p>
    <w:p>
      <w:pPr>
        <w:pStyle w:val="TextBody"/>
        <w:bidi w:val="0"/>
        <w:spacing w:lineRule="auto" w:line="288" w:before="120" w:after="283"/>
        <w:jc w:val="both"/>
        <w:rPr/>
      </w:pPr>
      <w:r>
        <w:rPr>
          <w:rFonts w:ascii="Times New Roman;serif" w:hAnsi="Times New Roman;serif"/>
          <w:b w:val="false"/>
          <w:color w:val="000000"/>
          <w:sz w:val="20"/>
        </w:rPr>
        <w:t>In Rhythm Management, sales increased 12.5 percent in the first three months of 2026, excluding the impact of foreign exchange, primarily due to growth in Aveir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leadless pacemakers. In Electrophysiology, sales increased 12.5 percent, excluding the impact of foreign exchange, primarily reflecting higher procedure volumes and increased demand for ablation catheters. In Heart Failure, sales increased 12.2 percent, excluding the impact of foreign exchange, primarily reflecting growth across the portfolio of ventricular assist devices and related accessories. In Structural Heart, sales increased 3.6 percent, excluding the impact of foreign exchange, primarily reflecting growth in Navitor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MitraClip</w:t>
      </w:r>
      <w:r>
        <w:rPr>
          <w:rFonts w:ascii="Times New Roman;serif" w:hAnsi="Times New Roman;serif"/>
          <w:b w:val="false"/>
          <w:color w:val="000000"/>
          <w:sz w:val="13"/>
        </w:rPr>
        <w:t xml:space="preserve">® </w:t>
      </w:r>
      <w:r>
        <w:rPr>
          <w:rFonts w:ascii="Times New Roman;serif" w:hAnsi="Times New Roman;serif"/>
          <w:b w:val="false"/>
          <w:color w:val="000000"/>
          <w:sz w:val="20"/>
        </w:rPr>
        <w:t>products, partially offset by the completion of payments related to a multi</w:t>
        <w:noBreakHyphen/>
        <w:t>year agreement with a competitor.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gross profit margin percentage was 52.4 percent for the first quarter of 2026, compared to 52.8 percent for the first quarter of 2025. The decrease in the first three months of 2026 reflects the unfavorable impact of higher costs and foreign exchange, partially offset by the impact of margin improvement initiatives.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(R&amp;D) expenses increased $51 million to $767 million, or 7.2 percent, in the first quarter of 2026 compared to the prior year. The increase in R&amp;D expenses in the first three months of 2026 was primarily driven by higher spending on development programs across multiple businesses. </w:t>
      </w:r>
    </w:p>
    <w:p>
      <w:pPr>
        <w:pStyle w:val="TextBody"/>
        <w:bidi w:val="0"/>
        <w:spacing w:lineRule="auto" w:line="268" w:before="120" w:after="283"/>
        <w:jc w:val="both"/>
        <w:rPr/>
      </w:pPr>
      <w:r>
        <w:rPr>
          <w:rFonts w:ascii="Times New Roman;serif" w:hAnsi="Times New Roman;serif"/>
          <w:b w:val="false"/>
          <w:color w:val="000000"/>
          <w:sz w:val="20"/>
        </w:rPr>
        <w:t>Selling, general, and administrative (SG&amp;A) expenses increased $679 million to $3.7 billion, or 22.2 percent, in the first quarter of 2026 primarily due to the acquisition and integration of Exact Sciences, including stock-based compensation expense resulting from the cash out of equity awards related to the acquisition. Higher SG&amp;A expenses also reflect increased selling and marketing spending to drive growth across various businesses, as well as the unfavorable impact of foreign exchange.</w:t>
      </w:r>
      <w:r>
        <w:rPr>
          <w:color w:val="EE2724"/>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Business Acquisition</w:t>
      </w:r>
    </w:p>
    <w:p>
      <w:pPr>
        <w:pStyle w:val="TextBody"/>
        <w:bidi w:val="0"/>
        <w:spacing w:lineRule="auto" w:line="288" w:before="120" w:after="283"/>
        <w:jc w:val="both"/>
        <w:rPr/>
      </w:pPr>
      <w:r>
        <w:rPr>
          <w:rFonts w:ascii="Times New Roman;serif" w:hAnsi="Times New Roman;serif"/>
          <w:b w:val="false"/>
          <w:color w:val="000000"/>
          <w:sz w:val="20"/>
        </w:rPr>
        <w:t>On March 23, 2026, Abbott completed the acquisition of Exact Sciences for approximately $20.6 billion. The acquisition was funded primarily through the issuance of $20 billion of long-term debt in March 2026, with the remainder funded by cash on hand. Under the terms of the agreement, Abbott paid $105 per common share in cash. As part of the acquisition, Abbott assumed approximately $2.8 billion of Exact Sciences’ debt, of which $1.4 billion was repaid in March 2026. The remaining debt is expected to be repaid in 2026. The acquisition of Exact Sciences is expected to establish Abbott's position in the cancer diagnostics market and expands its portfolio to include products such as Cologuard</w:t>
      </w:r>
      <w:r>
        <w:rPr>
          <w:rFonts w:ascii="Times New Roman;serif" w:hAnsi="Times New Roman;serif"/>
          <w:b w:val="false"/>
          <w:color w:val="000000"/>
          <w:sz w:val="13"/>
        </w:rPr>
        <w:t>®</w:t>
      </w:r>
      <w:r>
        <w:rPr>
          <w:rFonts w:ascii="Times New Roman;serif" w:hAnsi="Times New Roman;serif"/>
          <w:b w:val="false"/>
          <w:color w:val="000000"/>
          <w:sz w:val="20"/>
        </w:rPr>
        <w:t>, Oncotype DX</w:t>
      </w:r>
      <w:r>
        <w:rPr>
          <w:rFonts w:ascii="Times New Roman;serif" w:hAnsi="Times New Roman;serif"/>
          <w:b w:val="false"/>
          <w:color w:val="000000"/>
          <w:sz w:val="13"/>
        </w:rPr>
        <w:t>®</w:t>
      </w:r>
      <w:r>
        <w:rPr>
          <w:rFonts w:ascii="Times New Roman;serif" w:hAnsi="Times New Roman;serif"/>
          <w:b w:val="false"/>
          <w:color w:val="000000"/>
          <w:sz w:val="20"/>
        </w:rPr>
        <w:t>, and Cancerguard</w:t>
      </w:r>
      <w:r>
        <w:rPr>
          <w:rFonts w:ascii="Times New Roman;serif" w:hAnsi="Times New Roman;serif"/>
          <w:b w:val="false"/>
          <w:color w:val="000000"/>
          <w:sz w:val="13"/>
        </w:rPr>
        <w:t>®</w:t>
      </w:r>
      <w:r>
        <w:rPr>
          <w:rFonts w:ascii="Times New Roman;serif" w:hAnsi="Times New Roman;serif"/>
          <w:b w:val="false"/>
          <w:color w:val="000000"/>
          <w:sz w:val="2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preliminary allocation of the fair value of the Exact Sciences acquisition is shown in the table below. Allocation of the purchase price of the acquisition will be finalized when the valuation of assets and liabilities is completed and differences between the preliminary and final allocation could be material. </w:t>
      </w:r>
    </w:p>
    <w:tbl>
      <w:tblPr>
        <w:tblW w:w="5027" w:type="dxa"/>
        <w:jc w:val="left"/>
        <w:tblInd w:w="0" w:type="dxa"/>
        <w:tblLayout w:type="fixed"/>
        <w:tblCellMar>
          <w:top w:w="28" w:type="dxa"/>
          <w:left w:w="28" w:type="dxa"/>
          <w:bottom w:w="28" w:type="dxa"/>
          <w:right w:w="28" w:type="dxa"/>
        </w:tblCellMar>
      </w:tblPr>
      <w:tblGrid>
        <w:gridCol w:w="1381"/>
        <w:gridCol w:w="1217"/>
        <w:gridCol w:w="1226"/>
        <w:gridCol w:w="109"/>
        <w:gridCol w:w="109"/>
        <w:gridCol w:w="109"/>
        <w:gridCol w:w="211"/>
        <w:gridCol w:w="511"/>
        <w:gridCol w:w="154"/>
      </w:tblGrid>
      <w:tr>
        <w:trPr/>
        <w:tc>
          <w:tcPr>
            <w:tcW w:w="138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intangible assets, non-deductible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non-deductible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net 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recorded at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preliminary allocation of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40" w:after="283"/>
        <w:jc w:val="left"/>
        <w:rPr/>
      </w:pPr>
      <w:hyperlink w:anchor="if454735e94df41c3a44babbae82e9fc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goodwill is primarily attributable to future growth opportunities, assembled workforce, potential future technologies, and other intangible assets that do not qualify for separate recognition, as well as expected synergies from combining operations. The acquired net tangible assets consist primarily of property, plant, and equipment, trade accounts receivable, trade accounts payable, other current liabilities, and other non-current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the acquisition had occurred as of the beginning of 2025, unaudited pro forma consolidated net sales for the three months ended March 31, 2025, would have been approximately $11.1 billion. Unaudited pro forma earnings before taxes for the three months ended March 31, 2025, would have been approximately $0.7 billion, reflecting transaction-related costs of approximately $0.5 billion, interest expense of approximately $0.2 billion, and amortization expense related to acquired intangible assets of approximately $0.2 billion. Unaudited pro forma consolidated net sales for the three months ended March 31, 2026, would have been approximately $11.9 billion. Unaudited pro forma earnings before taxes for the three months ended March 31, 2026, would have been approximately $1.4 billion, reflecting interest expense of approximately $0.2 billion and amortization expense related to acquired intangible assets of approximately $0.2 billion, and excluding transaction-related expenses of $0.5 billion that were directly attributable to the acquisition. The unaudited pro forma information is not necessarily indicative of the consolidated results of operations that would have been realized had the Exact Sciences acquisition been completed as of the beginning of 2025, nor is it intended to be indicative of future results of operations of the combined entity.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Abbott's consolidated results include $96 million of net sales related to Exact Sciences. Earnings of Exact Sciences included in Abbott's consolidated financial statements since the acquisition date are not material to Abbott's consolidated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(Income) Expense, net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(income) expense, net increased from $127 million of income in the first quarter of 2025 to $159 million of income in the first quarter of 2026. The increase in the first quarter of 2026 reflects a prior year change in fair value of contingent consideration liabilities that did not repeat, higher income associated with the non-service cost components of net pension, and post-retirement medical benefits costs.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Expense,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net increased by $19 million to $68 million in the first quarter of 2026 primarily due to interest on debt related to the acquisition of Exact Sciences, partially offset by interest income on bond proceeds and prior year debt repayments.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Taxes on Earnings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Taxes on earnings reflect the estimated annual effective rates and include charges for interest and penalties. In the first three months of 2026 and 2025, taxes on earnings include $17 million and $73 million, respectively, in excess tax benefits associated with share-based compensation. In the first three months of 2026 and 2025, taxes on earnings includes approximately $200 million of tax expense related to a deferred tax asset that was recognized as a significant non-cash tax benefit in a prior year. In the first three months of 2026, taxes on earnings also included approximately $50 million of net tax benefit as the result of the resolution of various tax positions related to prior years.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September 2023, Abbott received a Statutory Notice of Deficiency (SNOD) from the U.S. Internal Revenue Service (IRS) for the 2019 Federal tax year in the amount of $417 million. The primary adjustments proposed in the SNOD relate to the reallocation of income between Abbott’s U.S. entities and its foreign affiliates. Abbott believes that the income reallocation adjustments proposed in the SNOD are without merit, in part because certain adjustments contradict methods that were agreed to with the IRS in prior audit periods. The SNOD also contains other proposed adjustments that Abbott believes are erroneous and unsupported. Abbott filed a petition with the U.S. Tax Court contesting the SNOD in December 2023.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June 2024, Abbott received a SNOD from the IRS for the 2017 and 2018 Federal tax years in the amount of $192 million. The matters proposed in the 2017/2018 SNOD are substantially similar to the income allocation adjustments included in the 2019 SNOD. Abbott filed a petition in September 2024 with the U.S. Tax Court contesting the 2017/2018 SNOD in a manner consistent with its petition for the 2019 SNOD.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40" w:after="283"/>
        <w:jc w:val="left"/>
        <w:rPr/>
      </w:pPr>
      <w:hyperlink w:anchor="if454735e94df41c3a44babbae82e9fc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October 2024, Abbott received a SNOD from the IRS for the 2020 Federal tax year assessing an additional $443 million of income tax. The primary adjustments proposed in the SNOD are substantially similar to the income allocation adjustments included in the 2017/2018 and 2019 SNODs. Abbott believes that the income reallocation adjustments proposed in the SNOD are without merit. The SNOD also contains other proposed adjustments and omissions that Abbott believes are erroneous and unsupported. In addition to the tax assessment for the 2020 tax year, the 2020 SNOD also contested a deduction for which an estimated $440 million cash tax benefit would be available in a different taxable year as allowed under applicable U.S. tax law. Abbott filed a petition with the U.S. Tax Court contesting the SNOD in December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Abbott and the IRS are in active discussions regarding several of the disputed items contained in the 2017 – 2020 SNODs.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July 2024, Abbott received a $413 million tax assessment from the Malaysian tax authorities for the 2023 tax year. The assessment applies a property capital gains tax on the value of the shares associated with the intercompany sale of an affiliate. Abbott believes the assessment of the Malaysian tax authority to be without merit. In October 2025, the Penang High Court upheld the assessment of the Malaysian tax authority. In October 2025, Abbott filed an appeal with the Malaysian Court of Appeals.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are numerous other income tax jurisdictions for which tax returns are not yet settled, none of which Abbott expects to be individually significant. Abbott intends to vigorously defend its filing positions in all jurisdictions in which it has unresolved tax matters through ongoing discussions with taxing administrations and/or through litigation as necessary. Abbott reserves for uncertain tax positions related to unresolved tax matters where Abbott’s tax filing position does not meet the standard for recognition of an income tax benefit. Abbott continues to believe that the amount of its recorded reserves for uncertain tax positions is appropriate. Reserves for interest and penalties are not significant.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Organization for Economic Cooperation &amp; Development (OECD) has proposed a two-pillared plan for a revised international tax system. Pillar 1 proposes to reallocate taxing rights among the jurisdictions in which in-scope multinational corporations operate. Pillar 2 proposes to assess a 15 percent minimum tax on the earnings of in-scope multinational corporations on a country-by-country basis. Numerous countries have enacted legislation to adopt the Pillar 2 model rules. On January 5, 2026, the OECD released administrative guidance that, when enacted, exempts U.S.-parented groups from the Pillar 2 minimum tax. Abbott continues to monitor legislative developments and assess any potential impacts on Abbott's operations for both the Pillar 1 and Pillar 2 proposals.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cash and cash equivalents from $8.5 billion at December 31, 2025, to $6.8 billion at March 31, 2026, reflects the use of cash to fund the cash portion of the acquisition of Exact Sciences and the repayment of $1.4 billion of debt assumed as part of the acquisition, as well as the payment of dividends and capital expenditures in the first three months of 2026, partially offset by cash generated from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Working capital was $7.1 billion at March 31, 2026, and $9.5 billion at December 31, 2025. The decrease in working capital in 2026 primarily reflects the reduction in cash to fund the cash portion of the Exact Sciences acquisition and the repayment of $1.4 billion of debt assumed as part of the acquisition, as well as an increase in the current portion of long-term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Condensed Consolidated Statement of Cash Flows, Net cash from operating activities for the first three months of 2026 totaled $1.3 billion, a decrease of $102 million from the prior year. Cash flow from operating activities decreased during the period, primarily due to the cash out of equity awards related to the acquisition of Exact Sciences, partially offset by a decrease in trade receivables. In the first three months of 2026, Net cash from operating activities included the payment of cash taxes of $266 million. Net cash from operating activities in the first three months of 2025 included $235 million of pension contributions and the payment of cash taxes of $255 million.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March 31, 2026, Abbott’s long-term debt rating was A+ by S&amp;P Global Ratings and Aa3 by Moody’s Investors Service. Abbott expects to maintain an investment grade rating.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the acquisition, Abbott assumed approximately $2.8 billion of Exact Sciences’ debt, of which $1.4 billion was repaid in March 2026. The remaining debt is expected to be repaid in 2026.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15, 2025, Abbott repaid the $500 million outstanding principal amount of its 3.875% Notes upon maturity. On March 17, 2025, Abbott repaid the $1.0 billion outstanding principal amount of its 2.95% Notes upon maturity.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40" w:after="283"/>
        <w:jc w:val="left"/>
        <w:rPr/>
      </w:pPr>
      <w:hyperlink w:anchor="if454735e94df41c3a44babbae82e9fc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2024, the board of directors authorized the repurchase of up to $7 billion of Abbott common shares, from time to time (the "2024 repurchase program"). As of March 31, 2026, $6.7 billion remains available for repurchase under the 2024 repurchase program. </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In the first quarter of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xml:space="preserve">, Abbott declared a quarterly dividend of $0.63 per share on its common shares, which represents an increase of 6.8 percent over the $0.59 per share dividend declared in the first quarter of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Legislative Issues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Abbott’s primary markets are highly competitive and subject to substantial government regulations throughout the world. Abbott expects debate to continue over the availability, method of delivery, and payment for healthcare products and services. It is not possible to predict the extent to which Abbott or the healthcare industry in general might be adversely affected by these factors in the future. A more complete discussion of these factors is contained in Item 1, Business, and Item 1A, Risk Factors, in our Annual Report on Form 10-K for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Private Securities Litigation Reform Act of 1995 — A Caution Concerning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safe harbor provisions of the Private Securities Litigation Reform Act of 1995, Abbott cautions that any forward-looking statements made by Abbott are subject to risks and uncertainties that may cause actual results to differ materially from those indicated in the forward-looking statements. Economic, competitive, governmental, technological, and other factors that may affect Abbott's operations are discussed in Item 1A, "Risk Factors" in our Annual Report on Form 10-K for the year ended December 31, 2025, and are incorporated herein by reference. Abbott undertakes no obligation to release publicly any revisions to forward-looking statements as a result of subsequent events or developments, except as required by law.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40" w:after="283"/>
        <w:jc w:val="left"/>
        <w:rPr/>
      </w:pPr>
      <w:hyperlink w:anchor="if454735e94df41c3a44babbae82e9fc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PART I. FINANCIAL INFORMATION</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u w:val="single"/>
        </w:rPr>
        <w:t>Item 4.</w:t>
      </w:r>
      <w:r>
        <w:rPr>
          <w:color w:val="000000"/>
        </w:rPr>
        <w:t xml:space="preserve">     </w:t>
      </w:r>
      <w:r>
        <w:rPr>
          <w:rFonts w:ascii="Times New Roman;serif" w:hAnsi="Times New Roman;serif"/>
          <w:b w:val="false"/>
          <w:color w:val="000000"/>
          <w:sz w:val="20"/>
          <w:u w:val="single"/>
        </w:rPr>
        <w:t>Controls and Procedures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(a)</w:t>
      </w:r>
      <w:r>
        <w:rPr>
          <w:rFonts w:ascii="Times New Roman;serif" w:hAnsi="Times New Roman;serif"/>
          <w:b w:val="false"/>
          <w:i/>
          <w:color w:val="000000"/>
          <w:sz w:val="20"/>
        </w:rPr>
        <w:t xml:space="preserve">Evaluation of disclosure controls and procedures. </w:t>
      </w:r>
      <w:r>
        <w:rPr>
          <w:rFonts w:ascii="Times New Roman;serif" w:hAnsi="Times New Roman;serif"/>
          <w:b w:val="false"/>
          <w:color w:val="000000"/>
          <w:sz w:val="20"/>
        </w:rPr>
        <w:t>The Chief Executive Officer, Robert B. Ford, and Chief Financial Officer, Philip P. Boudreau, evaluated the effectiveness of Abbott Laboratories’ disclosure controls and procedures as of the end of the period covered by this report, and concluded that Abbott Laboratories’ disclosure controls and procedures were effective to ensure that information Abbott is required to disclose in the reports that it files or submits with the Securities and Exchange Commission (the “Commission”) under the Securities Exchange Act of 1934 (the “Exchange Act”) is recorded, processed, summarized, and reported, within the time periods specified in the Commission’s rules and forms, and to ensure that information required to be disclosed by Abbott in the reports that it files or submits under the Exchange Act is accumulated and communicated to Abbott’s management, including its principal executive officer and principal financial officer, as appropriate to allow timely decisions regarding required disclosure.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Arial;sans-serif" w:hAnsi="Arial;sans-serif"/>
          <w:b w:val="false"/>
          <w:color w:val="000000"/>
          <w:sz w:val="18"/>
        </w:rPr>
        <w:t>(b)</w:t>
      </w:r>
      <w:r>
        <w:rPr>
          <w:rFonts w:ascii="Times New Roman;serif" w:hAnsi="Times New Roman;serif"/>
          <w:b w:val="false"/>
          <w:i/>
          <w:color w:val="000000"/>
          <w:sz w:val="20"/>
        </w:rPr>
        <w:t xml:space="preserve">Changes in internal control over financial reporting. </w:t>
      </w:r>
      <w:r>
        <w:rPr>
          <w:rFonts w:ascii="Times New Roman;serif" w:hAnsi="Times New Roman;serif"/>
          <w:b w:val="false"/>
          <w:color w:val="000000"/>
          <w:sz w:val="20"/>
        </w:rPr>
        <w:t>On March 23, 2026, Abbott completed the acquisition of Exact Sciences. During the quarter ended March 31, 2026, there were no other changes in Abbott’s internal control over financial reporting (as defined in Rule 13a-15(f) under the Exchange Act) that have materially affected, or are reasonably likely to materially affect, Abbott’s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PART II. OTHER INFORMATION</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pPr>
      <w:r>
        <w:rPr>
          <w:rFonts w:ascii="Times New Roman;serif" w:hAnsi="Times New Roman;serif"/>
          <w:b w:val="false"/>
          <w:color w:val="000000"/>
          <w:sz w:val="20"/>
          <w:u w:val="single"/>
        </w:rPr>
        <w:t>Item 1.</w:t>
      </w:r>
      <w:r>
        <w:rPr>
          <w:color w:val="000000"/>
        </w:rPr>
        <w:t xml:space="preserve">     </w:t>
      </w:r>
      <w:r>
        <w:rPr>
          <w:rFonts w:ascii="Times New Roman;serif" w:hAnsi="Times New Roman;serif"/>
          <w:b w:val="false"/>
          <w:color w:val="000000"/>
          <w:sz w:val="20"/>
          <w:u w:val="single"/>
        </w:rPr>
        <w:t>Legal Proceedings</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Abbott is involved in various claims, legal proceedings and investigations, including those described in its Annual Report on Form 10-K for the year ended December 31,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40" w:after="283"/>
        <w:jc w:val="left"/>
        <w:rPr/>
      </w:pPr>
      <w:hyperlink w:anchor="if454735e94df41c3a44babbae82e9fc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rPr/>
      </w:pPr>
      <w:r>
        <w:rPr>
          <w:rFonts w:ascii="Times New Roman;serif" w:hAnsi="Times New Roman;serif"/>
          <w:b w:val="false"/>
          <w:color w:val="000000"/>
          <w:sz w:val="20"/>
          <w:u w:val="single"/>
        </w:rPr>
        <w:t>Item 2.</w:t>
      </w:r>
      <w:r>
        <w:rPr>
          <w:color w:val="000000"/>
        </w:rPr>
        <w:t xml:space="preserve">     </w:t>
      </w:r>
      <w:r>
        <w:rPr>
          <w:rFonts w:ascii="Times New Roman;serif" w:hAnsi="Times New Roman;serif"/>
          <w:b w:val="false"/>
          <w:color w:val="000000"/>
          <w:sz w:val="20"/>
          <w:u w:val="single"/>
        </w:rPr>
        <w:t>Unregistered Sales of Equity Securities and Use of Proceeds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(c)</w:t>
      </w:r>
      <w:r>
        <w:rPr>
          <w:rFonts w:ascii="Times New Roman;serif" w:hAnsi="Times New Roman;serif"/>
          <w:b w:val="false"/>
          <w:i/>
          <w:color w:val="000000"/>
          <w:sz w:val="20"/>
        </w:rPr>
        <w:t>Issuer Purchases of Equity Securities</w:t>
      </w:r>
    </w:p>
    <w:p>
      <w:pPr>
        <w:pStyle w:val="TextBody"/>
        <w:bidi w:val="0"/>
        <w:spacing w:before="0" w:after="0"/>
        <w:jc w:val="both"/>
        <w:rPr/>
      </w:pPr>
      <w:r>
        <w:rPr/>
      </w:r>
    </w:p>
    <w:tbl>
      <w:tblPr>
        <w:tblW w:w="9859" w:type="dxa"/>
        <w:jc w:val="left"/>
        <w:tblInd w:w="0" w:type="dxa"/>
        <w:tblLayout w:type="fixed"/>
        <w:tblCellMar>
          <w:top w:w="28" w:type="dxa"/>
          <w:left w:w="28" w:type="dxa"/>
          <w:bottom w:w="28" w:type="dxa"/>
          <w:right w:w="28" w:type="dxa"/>
        </w:tblCellMar>
      </w:tblPr>
      <w:tblGrid>
        <w:gridCol w:w="1132"/>
        <w:gridCol w:w="996"/>
        <w:gridCol w:w="1007"/>
        <w:gridCol w:w="109"/>
        <w:gridCol w:w="109"/>
        <w:gridCol w:w="109"/>
        <w:gridCol w:w="294"/>
        <w:gridCol w:w="294"/>
        <w:gridCol w:w="296"/>
        <w:gridCol w:w="109"/>
        <w:gridCol w:w="109"/>
        <w:gridCol w:w="109"/>
        <w:gridCol w:w="331"/>
        <w:gridCol w:w="638"/>
        <w:gridCol w:w="171"/>
        <w:gridCol w:w="109"/>
        <w:gridCol w:w="109"/>
        <w:gridCol w:w="109"/>
        <w:gridCol w:w="454"/>
        <w:gridCol w:w="454"/>
        <w:gridCol w:w="456"/>
        <w:gridCol w:w="109"/>
        <w:gridCol w:w="109"/>
        <w:gridCol w:w="109"/>
        <w:gridCol w:w="211"/>
        <w:gridCol w:w="1336"/>
        <w:gridCol w:w="109"/>
        <w:gridCol w:w="109"/>
        <w:gridCol w:w="109"/>
        <w:gridCol w:w="154"/>
      </w:tblGrid>
      <w:tr>
        <w:trPr/>
        <w:tc>
          <w:tcPr>
            <w:tcW w:w="113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 Total</w:t>
              <w:br/>
              <w:t>Number of</w:t>
              <w:br/>
              <w:t>Shares (or</w:t>
              <w:br/>
              <w:t>Units)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 Average</w:t>
              <w:br/>
              <w:t>Price Paid per</w:t>
              <w:br/>
              <w:t>Share (or</w:t>
              <w:br/>
              <w:t>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 Total Number</w:t>
              <w:br/>
              <w:t>of Shares (or</w:t>
              <w:br/>
              <w:t>Units) Purchased</w:t>
              <w:br/>
              <w:t>as Part of</w:t>
              <w:br/>
              <w:t>Publicly</w:t>
              <w:br/>
              <w:t>Announced Plans</w:t>
              <w:br/>
              <w:t>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 Maximum</w:t>
              <w:br/>
              <w:t>Number (or</w:t>
              <w:br/>
              <w:t>Approximate</w:t>
              <w:br/>
              <w:t>Dollar Value) of</w:t>
              <w:br/>
              <w:t>Shares (or Units)</w:t>
              <w:br/>
              <w:t>that May Yet Be</w:t>
              <w:br/>
              <w:t>Purchased Under</w:t>
              <w:br/>
              <w:t>the Plans or</w:t>
              <w:br/>
              <w:t>Programs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2026 - January 31,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6,689,557,187 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(2)</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2026 - February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6,689,557,187 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(2)</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2026 -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6,689,557,187 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(2)</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6,689,557,187 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(2)</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1.These shares do not include the shares surrendered to Abbott to satisfy tax withholding obligations in connection with the vesting of restricted stock or restricted stock units.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2.On October 11, 2024, the board of directors authorized the repurchase of up to $7 billion of Abbott common shares, from time to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454735e94df41c3a44babbae82e9fc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val="false"/>
          <w:color w:val="000000"/>
          <w:sz w:val="20"/>
          <w:u w:val="single"/>
        </w:rPr>
        <w:t>Item 6.</w:t>
      </w:r>
      <w:r>
        <w:rPr>
          <w:color w:val="000000"/>
        </w:rPr>
        <w:t xml:space="preserve">     </w:t>
      </w:r>
      <w:r>
        <w:rPr>
          <w:rFonts w:ascii="Times New Roman;serif" w:hAnsi="Times New Roman;serif"/>
          <w:b w:val="false"/>
          <w:color w:val="000000"/>
          <w:sz w:val="20"/>
          <w:u w:val="single"/>
        </w:rPr>
        <w:t>Exhibits</w:t>
      </w:r>
    </w:p>
    <w:tbl>
      <w:tblPr>
        <w:tblW w:w="10205" w:type="dxa"/>
        <w:jc w:val="left"/>
        <w:tblInd w:w="0" w:type="dxa"/>
        <w:tblLayout w:type="fixed"/>
        <w:tblCellMar>
          <w:top w:w="28" w:type="dxa"/>
          <w:left w:w="28" w:type="dxa"/>
          <w:bottom w:w="28" w:type="dxa"/>
          <w:right w:w="28" w:type="dxa"/>
        </w:tblCellMar>
      </w:tblPr>
      <w:tblGrid>
        <w:gridCol w:w="259"/>
        <w:gridCol w:w="227"/>
        <w:gridCol w:w="229"/>
        <w:gridCol w:w="109"/>
        <w:gridCol w:w="109"/>
        <w:gridCol w:w="109"/>
        <w:gridCol w:w="2698"/>
        <w:gridCol w:w="2675"/>
        <w:gridCol w:w="3790"/>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3790" w:type="dxa"/>
            <w:tcBorders/>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Exhibit</w:t>
            </w:r>
          </w:p>
        </w:tc>
      </w:tr>
      <w:tr>
        <w:trPr/>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By-Laws of Abbott Laboratories, as amended and restated, effective April 24, 2026, filed as Exhibit 3.1 to the Abbott Laboratories Current Report on Form 8-K filed on April 27, 2026.</w:t>
              </w:r>
            </w:hyperlink>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Indenture, dated as of March 10, 2015, between Abbott Laboratories and U.S. Bank National Association (including form of security), filed as an exhibit to the Abbott Laboratories Current Report on Form 8-K filed on March 10, 2015, filed as Exhibit 4.1 to the Abbott Laboratories Current Report on Form 8-K filed on March 9, 2026.</w:t>
              </w:r>
            </w:hyperlink>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Officers’ Certificate Pursuant to Sections 3.1 and 3.3 of the Indenture with respect to the Floating Rate Notes due 2029, the 3.700% Notes due 2029, the 4.000% Notes due 2031, the 4.300% Notes due 2033, the 4.650% Notes due 2036, the 4.750% Notes due 2038, the 5.500% Notes due 2056 and the 5.600% Notes due 2066, filed as Exhibit 4.2 to the Abbott Laboratories Current Report on Form 8-K filed on March 9, 2026.</w:t>
              </w:r>
            </w:hyperlink>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"https://www.sec.gov/Archives/edgar/data/1800/000110465926025240/tm264905d8_ex4-2.htm" \l "ex4-2_002"</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Floating Rate Notes due 2029, filed as Exhibit 4.3 to the Abbott Laboratories Current Report on Form 8-K filed on March 9, 2026 (included in Exhibit 4.2 of the Abbott Laboratories Current Report on Form 8-K filed on March 9, 2026).</w:t>
            </w:r>
            <w:r>
              <w:rPr>
                <w:rStyle w:val="InternetLink"/>
                <w:sz w:val="20"/>
                <w:u w:val="single"/>
                <w:b w:val="false"/>
                <w:rFonts w:ascii="Times New Roman;serif" w:hAnsi="Times New Roman;serif"/>
                <w:color w:val="0000FF"/>
              </w:rPr>
              <w:fldChar w:fldCharType="end"/>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"https://www.sec.gov/Archives/edgar/data/1800/000110465926025240/tm264905d8_ex4-2.htm" \l "ex4-2_003"</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3.700% Notes due 2029, filed as Exhibit 4.4 to the Abbott Laboratories Current Report on Form 8-K filed on March 9, 2026 (included in Exhibit 4.2 of the Abbott Laboratories Current Report on Form 8-K filed on March 9, 2026).</w:t>
            </w:r>
            <w:r>
              <w:rPr>
                <w:rStyle w:val="InternetLink"/>
                <w:sz w:val="20"/>
                <w:u w:val="single"/>
                <w:b w:val="false"/>
                <w:rFonts w:ascii="Times New Roman;serif" w:hAnsi="Times New Roman;serif"/>
                <w:color w:val="0000FF"/>
              </w:rPr>
              <w:fldChar w:fldCharType="end"/>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"https://www.sec.gov/Archives/edgar/data/1800/000110465926025240/tm264905d8_ex4-2.htm" \l "ex4-2_004"</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4.000% Notes due 2031, filed as Exhibit 4.5 to the Abbott Laboratories Current Report on Form 8-K filed on March 9, 2026 (included in Exhibit 4.2 of the Abbott Laboratories Current Report on Form 8-K filed on March 9, 2026).</w:t>
            </w:r>
            <w:r>
              <w:rPr>
                <w:rStyle w:val="InternetLink"/>
                <w:sz w:val="20"/>
                <w:u w:val="single"/>
                <w:b w:val="false"/>
                <w:rFonts w:ascii="Times New Roman;serif" w:hAnsi="Times New Roman;serif"/>
                <w:color w:val="0000FF"/>
              </w:rPr>
              <w:fldChar w:fldCharType="end"/>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"https://www.sec.gov/Archives/edgar/data/1800/000110465926025240/tm264905d8_ex4-2.htm" \l "ex4-2_005"</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4.300% Notes due 2033, filed as Exhibit 4.6 to the Abbott Laboratories Current Report on Form 8-K filed on March 9, 2026 (included in Exhibit 4.2 of the Abbott Laboratories Current Report on Form 8-K filed on March 9, 2026).</w:t>
            </w:r>
            <w:r>
              <w:rPr>
                <w:rStyle w:val="InternetLink"/>
                <w:sz w:val="20"/>
                <w:u w:val="single"/>
                <w:b w:val="false"/>
                <w:rFonts w:ascii="Times New Roman;serif" w:hAnsi="Times New Roman;serif"/>
                <w:color w:val="0000FF"/>
              </w:rPr>
              <w:fldChar w:fldCharType="end"/>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"https://www.sec.gov/Archives/edgar/data/1800/000110465926025240/tm264905d8_ex4-2.htm" \l "ex4-2_006"</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4.650% Notes due 2036, filed as Exhibit 4.7 to the Abbott Laboratories Current Report on Form 8-K filed on March 9, 2026 (included in Exhibit 4.2 of the Abbott Laboratories Current Report on Form 8-K filed on March 9, 2026).</w:t>
            </w:r>
            <w:r>
              <w:rPr>
                <w:rStyle w:val="InternetLink"/>
                <w:sz w:val="20"/>
                <w:u w:val="single"/>
                <w:b w:val="false"/>
                <w:rFonts w:ascii="Times New Roman;serif" w:hAnsi="Times New Roman;serif"/>
                <w:color w:val="0000FF"/>
              </w:rPr>
              <w:fldChar w:fldCharType="end"/>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"https://www.sec.gov/Archives/edgar/data/1800/000110465926025240/tm264905d8_ex4-2.htm" \l "ex4-2_007"</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4.750% Notes due 2038, filed as Exhibit 4.8 to the Abbott Laboratories Current Report on Form 8-K filed on March 9, 2026 (included in Exhibit 4.2 of the Abbott Laboratories Current Report on Form 8-K filed on March 9, 2026).</w:t>
            </w:r>
            <w:r>
              <w:rPr>
                <w:rStyle w:val="InternetLink"/>
                <w:sz w:val="20"/>
                <w:u w:val="single"/>
                <w:b w:val="false"/>
                <w:rFonts w:ascii="Times New Roman;serif" w:hAnsi="Times New Roman;serif"/>
                <w:color w:val="0000FF"/>
              </w:rPr>
              <w:fldChar w:fldCharType="end"/>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"https://www.sec.gov/Archives/edgar/data/1800/000110465926025240/tm264905d8_ex4-2.htm" \l "ex4-2_008"</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5.500% Notes due 2056, filed as Exhibit 4.9 to the Abbott Laboratories Current Report on Form 8-K filed on March 9, 2026 (included in Exhibit 4.2 of the Abbott Laboratories Current Report on Form 8-K filed on March 9, 2026).</w:t>
            </w:r>
            <w:r>
              <w:rPr>
                <w:rStyle w:val="InternetLink"/>
                <w:sz w:val="20"/>
                <w:u w:val="single"/>
                <w:b w:val="false"/>
                <w:rFonts w:ascii="Times New Roman;serif" w:hAnsi="Times New Roman;serif"/>
                <w:color w:val="0000FF"/>
              </w:rPr>
              <w:fldChar w:fldCharType="end"/>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"https://www.sec.gov/Archives/edgar/data/1800/000110465926025240/tm264905d8_ex4-2.htm" \l "ex4-2_009"</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5.600% Notes due 2066, filed as Exhibit 4.10 to the Abbott Laboratories Current Report on Form 8-K filed on March 9, 2026 (included in Exhibit 4.2 of the Abbott Laboratories Current Report on Form 8-K filed on March 9, 2026).</w:t>
            </w:r>
            <w:r>
              <w:rPr>
                <w:rStyle w:val="InternetLink"/>
                <w:sz w:val="20"/>
                <w:u w:val="single"/>
                <w:b w:val="false"/>
                <w:rFonts w:ascii="Times New Roman;serif" w:hAnsi="Times New Roman;serif"/>
                <w:color w:val="0000FF"/>
              </w:rPr>
              <w:fldChar w:fldCharType="end"/>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"https://www.sec.gov/ix?doc=/Archives/edgar/data/1800/000130817926000064/abt-20260311.htm" \l "i5771cae80df844cdb3046ede3c6a75e3_1580"</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Abbott Laboratories 2026 Incentive Stock Program (incorporated by reference to Exhibit A of the Abbott Laboratories Definitive Proxy Statement on Schedule 14A filed on March 13, 2026).</w:t>
            </w:r>
            <w:r>
              <w:rPr>
                <w:rStyle w:val="InternetLink"/>
                <w:sz w:val="20"/>
                <w:u w:val="single"/>
                <w:b w:val="false"/>
                <w:rFonts w:ascii="Times New Roman;serif" w:hAnsi="Times New Roman;serif"/>
                <w:color w:val="0000FF"/>
              </w:rPr>
              <w:fldChar w:fldCharType="end"/>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Form of Restricted Stock Unit Agreement (time-based vested) under the Abbott Laboratories 2026 Incentive Stock Program, filed as Exhibit 10.2 to the Abbott Laboratories Current Report on Form 8-K filed on April 27, 2026.</w:t>
              </w:r>
            </w:hyperlink>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Form of Restricted Stock Unit Agreement for foreign employees (time-based vested) under the Abbott Laboratories 2026 Incentive Stock Program, filed as Exhibit 10.3 to the Abbott Laboratories Current Report on Form 8-K filed on April 27, 2026.</w:t>
              </w:r>
            </w:hyperlink>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454735e94df41c3a44babbae82e9fc7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1"/>
        <w:gridCol w:w="186"/>
        <w:gridCol w:w="189"/>
        <w:gridCol w:w="109"/>
        <w:gridCol w:w="109"/>
        <w:gridCol w:w="109"/>
        <w:gridCol w:w="2787"/>
        <w:gridCol w:w="2693"/>
        <w:gridCol w:w="3812"/>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12"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Form of Restricted Stock Unit Agreement (cliff vested) under the Abbott Laboratories 2026 Incentive Stock Program, filed as Exhibit 10.4 to the Abbott Laboratories Current Report on Form 8-K filed on April 27, 2026.</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Form of Restricted Stock Unit Agreement for foreign employees (cliff vested) under the Abbott Laboratories 2026 Incentive Stock Program, filed as Exhibit 10.5 to the Abbott Laboratories Current Report on Form 8-K filed on April 27, 2026.</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0"/>
                  <w:u w:val="single"/>
                </w:rPr>
                <w:t>Form of Performance Restricted Stock Agreement (annual performance based) under the Abbott Laboratories 2026 Incentive Stock Program, filed as Exhibit 10.6 to the Abbott Laboratories Current Report on Form 8-K filed on April 27, 2026.</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20"/>
                  <w:u w:val="single"/>
                </w:rPr>
                <w:t>Form of Performance Restricted Stock Unit Agreement for foreign employees (annual performance based) under the Abbott Laboratories 2026 Incentive Stock Program, filed as Exhibit 10.7 to the Abbott Laboratories Current Report on Form 8-K filed on April 27, 2026.</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0"/>
                  <w:u w:val="single"/>
                </w:rPr>
                <w:t>Form of Performance Restricted Stock Agreement (interim performance based) under the Abbott Laboratories 2026 Incentive Stock Program, filed as Exhibit 10.8 to the Abbott Laboratories Current Report on Form 8-K filed on April 27, 2026.</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20"/>
                  <w:u w:val="single"/>
                </w:rPr>
                <w:t>Form of Performance Restricted Stock Unit Agreement for foreign employees (interim performance based) under the Abbott Laboratories 2026 Incentive Stock Program, filed as Exhibit 10.9 to the Abbott Laboratories Current Report on Form 8-K filed on April 27, 2026.</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20"/>
                  <w:u w:val="single"/>
                </w:rPr>
                <w:t>Form of Restricted Stock Agreement (time-based vested) under the Abbott Laboratories 2026 Incentive Stock Program, filed as Exhibit 10.10 to the Abbott Laboratories Current Report on Form 8-K filed on April 27, 2026.</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FF"/>
                  <w:sz w:val="20"/>
                  <w:u w:val="single"/>
                </w:rPr>
                <w:t>Form of Restricted Stock Agreement (cliff vested) under the Abbott Laboratories 2026 Incentive Stock Program, filed as Exhibit 10.11 to the Abbott Laboratories Current Report on Form 8-K filed on April 27, 2026.</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20"/>
                  <w:u w:val="single"/>
                </w:rPr>
                <w:t>Form of Non-Qualified Stock Option Agreement under the Abbott Laboratories 2026 Incentive Stock Program, filed as Exhibit 10.12 to the Abbott Laboratories Current Report on Form 8-K filed on April 27, 2026.</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20"/>
                  <w:u w:val="single"/>
                </w:rPr>
                <w:t>Form of Non-Qualified Stock Option Agreement for foreign employees under the Abbott Laboratories 2026 Incentive Stock Program, filed as Exhibit 10.13 to the Abbott Laboratories Current Report on Form 8-K filed on April 27, 2026.</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20"/>
                  <w:u w:val="single"/>
                </w:rPr>
                <w:t>Form of Restricted Stock Unit Agreement for executive officers (cliff vested) under the Abbott Laboratories 2026 Incentive Stock Program, filed as Exhibit 10.14 to the Abbott Laboratories Current Report on Form 8-K filed on April 27, 2026.</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FF"/>
                  <w:sz w:val="20"/>
                  <w:u w:val="single"/>
                </w:rPr>
                <w:t>Form of Restricted Stock Unit Agreement for foreign executive officers (cliff vested) under the Abbott Laboratories 2026 Incentive Stock Program, filed as Exhibit 10.15 to the Abbott Laboratories Current Report on Form 8-K filed on April 27, 2026.</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20"/>
                  <w:u w:val="single"/>
                </w:rPr>
                <w:t>Form of Performance Restricted Stock Agreement for executive officers (annual performance based) under the Abbott Laboratories 2026 Incentive Stock Program, filed as Exhibit 10.16 to the Abbott Laboratories Current Report on Form 8-K filed on April 27, 2026.</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20"/>
                  <w:u w:val="single"/>
                </w:rPr>
                <w:t>Form of Performance Restricted Stock Agreement for executive officers (interim performance based) under the Abbott Laboratories 2026 Incentive Stock Program, filed as Exhibit 10.17 to the Abbott Laboratories Current Report on Form 8-K filed on April 27, 2026.</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FF"/>
                  <w:sz w:val="20"/>
                  <w:u w:val="single"/>
                </w:rPr>
                <w:t>Form of Performance Restricted Stock Unit Agreement for foreign executive officers (annual performance based) under the Abbott Laboratories 2026 Incentive Stock Program, filed as Exhibit 10.18 to the Abbott Laboratories Current Report on Form 8-K filed on April 27, 2026.</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454735e94df41c3a44babbae82e9fc7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2867"/>
        <w:gridCol w:w="2660"/>
        <w:gridCol w:w="3765"/>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376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FF"/>
                  <w:sz w:val="20"/>
                  <w:u w:val="single"/>
                </w:rPr>
                <w:t>Form of Performance Restricted Stock Unit Agreement for foreign executive officers (interim performance based) under the Abbott Laboratories 2026 Incentive Stock Program, filed as Exhibit 10.19 to the Abbott Laboratories Current Report on Form 8-K filed on April 27, 2026.</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erif" w:hAnsi="Times New Roman;serif"/>
                  <w:b w:val="false"/>
                  <w:color w:val="0000FF"/>
                  <w:sz w:val="20"/>
                  <w:u w:val="single"/>
                </w:rPr>
                <w:t>Form of Restricted Stock Agreement for executive officers (time-based vested) under the Abbott Laboratories 2026 Incentive Stock Program, filed as Exhibit 10.20 to the Abbott Laboratories Current Report on Form 8-K filed on April 27, 2026.</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erif" w:hAnsi="Times New Roman;serif"/>
                  <w:b w:val="false"/>
                  <w:color w:val="0000FF"/>
                  <w:sz w:val="20"/>
                  <w:u w:val="single"/>
                </w:rPr>
                <w:t>Form of Restricted Stock Agreement for executive officers (cliff vested) under the Abbott Laboratories 2026 Incentive Stock Program, filed as Exhibit 10.21 to the Abbott Laboratories Current Report on Form 8-K filed on April 27, 2026.</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erif" w:hAnsi="Times New Roman;serif"/>
                  <w:b w:val="false"/>
                  <w:color w:val="0000FF"/>
                  <w:sz w:val="20"/>
                  <w:u w:val="single"/>
                </w:rPr>
                <w:t>Form of Non-Qualified Stock Option Agreement for executive officers under the Abbott Laboratories 2026 Incentive Stock Program, filed as Exhibit 10.22 to the Abbott Laboratories Current Report on Form 8-K filed on April 27, 2026.</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erif" w:hAnsi="Times New Roman;serif"/>
                  <w:b w:val="false"/>
                  <w:color w:val="0000FF"/>
                  <w:sz w:val="20"/>
                  <w:u w:val="single"/>
                </w:rPr>
                <w:t>Form of Non-Qualified Stock Option Agreement for foreign executive officers under the Abbott Laboratories 2026 Incentive Stock Program, filed as Exhibit 10.23 to the Abbott Laboratories Current Report on Form 8-K filed on April 27, 2026.</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erif" w:hAnsi="Times New Roman;serif"/>
                  <w:b w:val="false"/>
                  <w:color w:val="0000FF"/>
                  <w:sz w:val="20"/>
                  <w:u w:val="single"/>
                </w:rPr>
                <w:t>Form of Non-Employee Director Restricted Stock Unit Agreement under the Abbott Laboratories 2026 Incentive Stock Program, filed as Exhibit 10.24 to the Abbott Laboratories Current Report on Form 8-K filed on April 27, 2026.</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erif" w:hAnsi="Times New Roman;serif"/>
                  <w:b w:val="false"/>
                  <w:color w:val="0000FF"/>
                  <w:sz w:val="20"/>
                  <w:u w:val="single"/>
                </w:rPr>
                <w:t>Form of Non-Employee Director Restricted Stock Unit Agreement for foreign non-employee directors under the Abbott Laboratories 2026 Incentive Stock Program, filed as Exhibit 10.25 to the Abbott Laboratories Current Report on Form 8-K filed on April 27, 2026.</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erif" w:hAnsi="Times New Roman;serif"/>
                  <w:b w:val="false"/>
                  <w:color w:val="0000FF"/>
                  <w:sz w:val="20"/>
                  <w:u w:val="single"/>
                </w:rPr>
                <w:t xml:space="preserve">Form of Non-Employee Director Non-Qualified Stock Option Agreement under the Abbott Laboratories 2026 Incentive Stock Program, filed as Exhibit 10.26 to the Abbott Laboratories Current Report on Form 8-K filed on April 27, 2026.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erif" w:hAnsi="Times New Roman;serif"/>
                  <w:b w:val="false"/>
                  <w:color w:val="0000FF"/>
                  <w:sz w:val="20"/>
                  <w:u w:val="single"/>
                </w:rPr>
                <w:t>Form of Non-Employee Director Non-Qualified Stock Option Agreement for foreign non-employee directors under the Abbott Laboratories 2026 Incentive Stock Program, filed as Exhibit 10.27 to the Abbott Laboratories Current Report on Form 8-K filed on April 27, 2026.</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1202610qex311.htm">
              <w:r>
                <w:rPr>
                  <w:rStyle w:val="InternetLink"/>
                  <w:rFonts w:ascii="Times New Roman;serif" w:hAnsi="Times New Roman;serif"/>
                  <w:b w:val="false"/>
                  <w:color w:val="0000FF"/>
                  <w:sz w:val="20"/>
                  <w:u w:val="single"/>
                </w:rPr>
                <w:t>Certification of Chief Executive Officer Required by Rule 13a-14(a) (17 CFR 240.13a-14(a)).</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1202610qex312.htm">
              <w:r>
                <w:rPr>
                  <w:rStyle w:val="InternetLink"/>
                  <w:rFonts w:ascii="Times New Roman;serif" w:hAnsi="Times New Roman;serif"/>
                  <w:b w:val="false"/>
                  <w:color w:val="0000FF"/>
                  <w:sz w:val="20"/>
                  <w:u w:val="single"/>
                </w:rPr>
                <w:t>Certification of Chief Financial Officer Required by Rule 13a-14(a) (17 CFR 240.13a-14(a)).</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Exhibits 32.1 and 32.2 are furnished herewith and should not be deemed to be “filed” under the Securities Exchange Act of 1934.</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q1202610qex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q1202610qex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following financial statements and notes from the Abbott Laboratories Quarterly Report on Form 10-Q for the quarter ended March 31, 2026, formatted in Inline XBRL: (i) Condensed Consolidated Statement of Earnings; (ii) Condensed Consolidated Statement of Comprehensive Income; (iii) Condensed Consolidated Balance Sheet; (iv) Condensed Consolidated Statement of Shareholders’ Investment; (v) Condensed Consolidated Statement of Cash Flows; and (vi) Notes to the Condensed Consolidated Financial Statements.</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in the Inline XBRL document and included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240" w:after="283"/>
        <w:jc w:val="left"/>
        <w:rPr/>
      </w:pPr>
      <w:hyperlink w:anchor="if454735e94df41c3a44babbae82e9fc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SIGNATURE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528" w:type="dxa"/>
        <w:jc w:val="left"/>
        <w:tblInd w:w="0" w:type="dxa"/>
        <w:tblLayout w:type="fixed"/>
        <w:tblCellMar>
          <w:top w:w="28" w:type="dxa"/>
          <w:left w:w="28" w:type="dxa"/>
          <w:bottom w:w="28" w:type="dxa"/>
          <w:right w:w="28" w:type="dxa"/>
        </w:tblCellMar>
      </w:tblPr>
      <w:tblGrid>
        <w:gridCol w:w="446"/>
        <w:gridCol w:w="393"/>
        <w:gridCol w:w="393"/>
        <w:gridCol w:w="972"/>
        <w:gridCol w:w="972"/>
        <w:gridCol w:w="980"/>
        <w:gridCol w:w="109"/>
        <w:gridCol w:w="109"/>
        <w:gridCol w:w="154"/>
      </w:tblGrid>
      <w:tr>
        <w:trPr/>
        <w:tc>
          <w:tcPr>
            <w:tcW w:w="4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ABBOTT LABORATORIES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PHILIP P. BOUDREAU</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P. Boudreau</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Finance </w:t>
              <w:br/>
              <w:t>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April 29,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Required by Rule 13a-14(a) (17 CFR 240.13a-14(a))</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Robert B. Ford,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Abbott Laboratories;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Abbott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4.Abbott’s other certifying officer and I are responsible for establishing and maintaining disclosure controls and procedures (as defined in Exchange Act Rules 13a-15(e) and 15d-15(e)) and internal control over financial reporting (as defined in Exchange Act Rules 13a-15(f) and 15d-15(f)) for Abbott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Abbott,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Abbott’s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Abbott’s internal control over financial reporting that occurred during Abbott’s most recent fiscal quarter that has materially affected, or is reasonably likely to materially affect, Abbott’s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5.Abbott’s other certifying officer and I have disclosed, based on our most recent evaluation of internal control over financial reporting, to Abbott’s auditors and the audit committee of Abbott’s board of directors: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Abbott’s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Abbott’s internal control over financial reporting.</w:t>
      </w:r>
    </w:p>
    <w:tbl>
      <w:tblPr>
        <w:tblW w:w="6089" w:type="dxa"/>
        <w:jc w:val="left"/>
        <w:tblInd w:w="0" w:type="dxa"/>
        <w:tblLayout w:type="fixed"/>
        <w:tblCellMar>
          <w:top w:w="28" w:type="dxa"/>
          <w:left w:w="28" w:type="dxa"/>
          <w:bottom w:w="28" w:type="dxa"/>
          <w:right w:w="28" w:type="dxa"/>
        </w:tblCellMar>
      </w:tblPr>
      <w:tblGrid>
        <w:gridCol w:w="645"/>
        <w:gridCol w:w="568"/>
        <w:gridCol w:w="571"/>
        <w:gridCol w:w="1257"/>
        <w:gridCol w:w="1257"/>
        <w:gridCol w:w="1791"/>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April 29, 2026</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B. FORD</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B. Ford</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Required by Rule 13a-14(a) (17 CFR 240.13a-14(a))</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Philip P. Boudreau,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Abbott Laboratories;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Abbott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4.Abbott’s other certifying officer and I are responsible for establishing and maintaining disclosure controls and procedures (as defined in Exchange Act Rules 13a-15(e) and 15d-15(e)) and internal control over financial reporting (as defined in Exchange Act Rules 13a-15(f) and 15d-15(f)) for Abbott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Abbott,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Abbott’s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Abbott’s internal control over financial reporting that occurred during Abbott’s most recent fiscal quarter that has materially affected, or is reasonably likely to materially affect, Abbott’s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5.Abbott’s other certifying officer and I have disclosed, based on our most recent evaluation of internal control over financial reporting, to Abbott’s auditors and the audit committee of Abbott’s board of directors: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Abbott’s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Abbott’s internal control over financial reporting.</w:t>
      </w:r>
    </w:p>
    <w:tbl>
      <w:tblPr>
        <w:tblW w:w="4709" w:type="dxa"/>
        <w:jc w:val="left"/>
        <w:tblInd w:w="0" w:type="dxa"/>
        <w:tblLayout w:type="fixed"/>
        <w:tblCellMar>
          <w:top w:w="28" w:type="dxa"/>
          <w:left w:w="28" w:type="dxa"/>
          <w:bottom w:w="28" w:type="dxa"/>
          <w:right w:w="28" w:type="dxa"/>
        </w:tblCellMar>
      </w:tblPr>
      <w:tblGrid>
        <w:gridCol w:w="645"/>
        <w:gridCol w:w="568"/>
        <w:gridCol w:w="571"/>
        <w:gridCol w:w="856"/>
        <w:gridCol w:w="856"/>
        <w:gridCol w:w="1213"/>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April 29, 2026</w:t>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PHILIP P. BOUDREAU</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P. Boudreau</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Finance</w:t>
              <w:br/>
              <w:t>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Abbott Laboratories (the “Company”) on Form 10-Q for the period ended March 31, 2026 as filed with the Securities and Exchange Commission (the “Report”), I, Robert B. Ford, Chairman of the Board and Chief Executive Officer of the Company, certify, pursuant to 18 U.S.C. § 1350, as adopted pursuant to § 906 of the Sarbanes-Oxley Act of 2002, that:</w:t>
      </w:r>
    </w:p>
    <w:p>
      <w:pPr>
        <w:pStyle w:val="TextBody"/>
        <w:bidi w:val="0"/>
        <w:spacing w:lineRule="auto" w:line="288" w:before="240" w:after="283"/>
        <w:ind w:left="0" w:right="0" w:hanging="360"/>
        <w:jc w:val="left"/>
        <w:rPr/>
      </w:pPr>
      <w:r>
        <w:rPr>
          <w:rFonts w:ascii="Times New Roman;serif" w:hAnsi="Times New Roman;serif"/>
          <w:b w:val="false"/>
          <w:color w:val="000000"/>
          <w:sz w:val="20"/>
        </w:rPr>
        <w:t>(1)The Report fully c</w:t>
      </w:r>
      <w:r>
        <w:rPr>
          <w:rFonts w:ascii="Times New Roman;serif" w:hAnsi="Times New Roman;serif"/>
          <w:b w:val="false"/>
          <w:color w:val="000000"/>
          <w:sz w:val="20"/>
          <w:shd w:fill="FFFFFF" w:val="clear"/>
        </w:rPr>
        <w:t>omplies with the requirements of section 13(a) or 15(d)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(2)The information contained in the Report fairly presents, in all material respects, the financial condition and results of operations of the Company.</w:t>
      </w:r>
    </w:p>
    <w:tbl>
      <w:tblPr>
        <w:tblW w:w="4647" w:type="dxa"/>
        <w:jc w:val="left"/>
        <w:tblInd w:w="0" w:type="dxa"/>
        <w:tblLayout w:type="fixed"/>
        <w:tblCellMar>
          <w:top w:w="28" w:type="dxa"/>
          <w:left w:w="28" w:type="dxa"/>
          <w:bottom w:w="28" w:type="dxa"/>
          <w:right w:w="28" w:type="dxa"/>
        </w:tblCellMar>
      </w:tblPr>
      <w:tblGrid>
        <w:gridCol w:w="1546"/>
        <w:gridCol w:w="1361"/>
        <w:gridCol w:w="1368"/>
        <w:gridCol w:w="109"/>
        <w:gridCol w:w="109"/>
        <w:gridCol w:w="154"/>
      </w:tblGrid>
      <w:tr>
        <w:trPr/>
        <w:tc>
          <w:tcPr>
            <w:tcW w:w="154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B. FORD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B. Ford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Abbott Laboratories and will be retained by Abbott Laboratories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Abbott Laboratories (the “Company”) on Form 10-Q for the period ended March 31, 2026 as filed with the Securities and Exchange Commission (the “Report”), I, Philip B. Boudreau, Executive Vice President, Finance and Chief Financial Officer of the Company, certify, pursuant to 18 U.S.C. § 1350, as adopted pursuant to § 906 of the Sarbanes-Oxley Act of 2002,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267" w:type="dxa"/>
        <w:jc w:val="left"/>
        <w:tblInd w:w="0" w:type="dxa"/>
        <w:tblLayout w:type="fixed"/>
        <w:tblCellMar>
          <w:top w:w="28" w:type="dxa"/>
          <w:left w:w="28" w:type="dxa"/>
          <w:bottom w:w="28" w:type="dxa"/>
          <w:right w:w="28" w:type="dxa"/>
        </w:tblCellMar>
      </w:tblPr>
      <w:tblGrid>
        <w:gridCol w:w="1050"/>
        <w:gridCol w:w="920"/>
        <w:gridCol w:w="925"/>
        <w:gridCol w:w="109"/>
        <w:gridCol w:w="109"/>
        <w:gridCol w:w="154"/>
      </w:tblGrid>
      <w:tr>
        <w:trPr/>
        <w:tc>
          <w:tcPr>
            <w:tcW w:w="105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PHILIP P. BOUDREAU</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P. Boudreau</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Finance</w:t>
              <w:br/>
              <w:t>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Abbott Laboratories and will be retained by Abbott Laboratories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0/000110465926049434/tm2612318d1_ex3-1.htm" TargetMode="External"/><Relationship Id="rId3" Type="http://schemas.openxmlformats.org/officeDocument/2006/relationships/hyperlink" Target="https://www.sec.gov/Archives/edgar/data/1800/000110465915018379/a15-4927_5ex4d1.htm" TargetMode="External"/><Relationship Id="rId4" Type="http://schemas.openxmlformats.org/officeDocument/2006/relationships/hyperlink" Target="https://www.sec.gov/Archives/edgar/data/1800/000110465926025240/tm264905d8_ex4-2.htm" TargetMode="External"/><Relationship Id="rId5" Type="http://schemas.openxmlformats.org/officeDocument/2006/relationships/hyperlink" Target="https://www.sec.gov/Archives/edgar/data/1800/000110465926049434/tm2612318d1_ex10-2.htm" TargetMode="External"/><Relationship Id="rId6" Type="http://schemas.openxmlformats.org/officeDocument/2006/relationships/hyperlink" Target="https://www.sec.gov/Archives/edgar/data/1800/000110465926049434/tm2612318d1_ex10-3.htm" TargetMode="External"/><Relationship Id="rId7" Type="http://schemas.openxmlformats.org/officeDocument/2006/relationships/hyperlink" Target="https://www.sec.gov/Archives/edgar/data/1800/000110465926049434/tm2612318d1_ex10-4.htm" TargetMode="External"/><Relationship Id="rId8" Type="http://schemas.openxmlformats.org/officeDocument/2006/relationships/hyperlink" Target="https://www.sec.gov/Archives/edgar/data/1800/000110465926049434/tm2612318d1_ex10-5.htm" TargetMode="External"/><Relationship Id="rId9" Type="http://schemas.openxmlformats.org/officeDocument/2006/relationships/hyperlink" Target="https://www.sec.gov/Archives/edgar/data/1800/000110465926049434/tm2612318d1_ex10-6.htm" TargetMode="External"/><Relationship Id="rId10" Type="http://schemas.openxmlformats.org/officeDocument/2006/relationships/hyperlink" Target="https://www.sec.gov/Archives/edgar/data/1800/000110465926049434/tm2612318d1_ex10-7.htm" TargetMode="External"/><Relationship Id="rId11" Type="http://schemas.openxmlformats.org/officeDocument/2006/relationships/hyperlink" Target="https://www.sec.gov/Archives/edgar/data/1800/000110465926049434/tm2612318d1_ex10-8.htm" TargetMode="External"/><Relationship Id="rId12" Type="http://schemas.openxmlformats.org/officeDocument/2006/relationships/hyperlink" Target="https://www.sec.gov/Archives/edgar/data/1800/000110465926049434/tm2612318d1_ex10-9.htm" TargetMode="External"/><Relationship Id="rId13" Type="http://schemas.openxmlformats.org/officeDocument/2006/relationships/hyperlink" Target="https://www.sec.gov/Archives/edgar/data/1800/000110465926049434/tm2612318d1_ex10-10.htm" TargetMode="External"/><Relationship Id="rId14" Type="http://schemas.openxmlformats.org/officeDocument/2006/relationships/hyperlink" Target="https://www.sec.gov/Archives/edgar/data/1800/000110465926049434/tm2612318d1_ex10-11.htm" TargetMode="External"/><Relationship Id="rId15" Type="http://schemas.openxmlformats.org/officeDocument/2006/relationships/hyperlink" Target="https://www.sec.gov/Archives/edgar/data/1800/000110465926049434/tm2612318d1_ex10-12.htm" TargetMode="External"/><Relationship Id="rId16" Type="http://schemas.openxmlformats.org/officeDocument/2006/relationships/hyperlink" Target="https://www.sec.gov/Archives/edgar/data/1800/000110465926049434/tm2612318d1_ex10-13.htm" TargetMode="External"/><Relationship Id="rId17" Type="http://schemas.openxmlformats.org/officeDocument/2006/relationships/hyperlink" Target="https://www.sec.gov/Archives/edgar/data/1800/000110465926049434/tm2612318d1_ex10-14.htm" TargetMode="External"/><Relationship Id="rId18" Type="http://schemas.openxmlformats.org/officeDocument/2006/relationships/hyperlink" Target="https://www.sec.gov/Archives/edgar/data/1800/000110465926049434/tm2612318d1_ex10-15.htm" TargetMode="External"/><Relationship Id="rId19" Type="http://schemas.openxmlformats.org/officeDocument/2006/relationships/hyperlink" Target="https://www.sec.gov/Archives/edgar/data/1800/000110465926049434/tm2612318d1_ex10-16.htm" TargetMode="External"/><Relationship Id="rId20" Type="http://schemas.openxmlformats.org/officeDocument/2006/relationships/hyperlink" Target="https://www.sec.gov/Archives/edgar/data/1800/000110465926049434/tm2612318d1_ex10-17.htm" TargetMode="External"/><Relationship Id="rId21" Type="http://schemas.openxmlformats.org/officeDocument/2006/relationships/hyperlink" Target="https://www.sec.gov/Archives/edgar/data/1800/000110465926049434/tm2612318d1_ex10-18.htm" TargetMode="External"/><Relationship Id="rId22" Type="http://schemas.openxmlformats.org/officeDocument/2006/relationships/hyperlink" Target="https://www.sec.gov/Archives/edgar/data/1800/000110465926049434/tm2612318d1_ex10-19.htm" TargetMode="External"/><Relationship Id="rId23" Type="http://schemas.openxmlformats.org/officeDocument/2006/relationships/hyperlink" Target="https://www.sec.gov/Archives/edgar/data/1800/000110465926049434/tm2612318d1_ex10-20.htm" TargetMode="External"/><Relationship Id="rId24" Type="http://schemas.openxmlformats.org/officeDocument/2006/relationships/hyperlink" Target="https://www.sec.gov/Archives/edgar/data/1800/000110465926049434/tm2612318d1_ex10-21.htm" TargetMode="External"/><Relationship Id="rId25" Type="http://schemas.openxmlformats.org/officeDocument/2006/relationships/hyperlink" Target="https://www.sec.gov/Archives/edgar/data/1800/000110465926049434/tm2612318d1_ex10-22.htm" TargetMode="External"/><Relationship Id="rId26" Type="http://schemas.openxmlformats.org/officeDocument/2006/relationships/hyperlink" Target="https://www.sec.gov/Archives/edgar/data/1800/000110465926049434/tm2612318d1_ex10-23.htm" TargetMode="External"/><Relationship Id="rId27" Type="http://schemas.openxmlformats.org/officeDocument/2006/relationships/hyperlink" Target="https://www.sec.gov/Archives/edgar/data/1800/000110465926049434/tm2612318d1_ex10-24.htm" TargetMode="External"/><Relationship Id="rId28" Type="http://schemas.openxmlformats.org/officeDocument/2006/relationships/hyperlink" Target="https://www.sec.gov/Archives/edgar/data/1800/000110465926049434/tm2612318d1_ex10-25.htm" TargetMode="External"/><Relationship Id="rId29" Type="http://schemas.openxmlformats.org/officeDocument/2006/relationships/hyperlink" Target="https://www.sec.gov/Archives/edgar/data/1800/000110465926049434/tm2612318d1_ex10-26.htm" TargetMode="External"/><Relationship Id="rId30" Type="http://schemas.openxmlformats.org/officeDocument/2006/relationships/hyperlink" Target="https://www.sec.gov/Archives/edgar/data/1800/000110465926049434/tm2612318d1_ex10-27.htm"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14909</Words>
  <Characters>82996</Characters>
  <CharactersWithSpaces>96706</CharactersWithSpaces>
  <Paragraphs>2085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