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Commission File No. 1-2189</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ABBOTT LABORATORIES</w:t>
      </w:r>
    </w:p>
    <w:tbl>
      <w:tblPr>
        <w:tblW w:w="5130" w:type="dxa"/>
        <w:jc w:val="left"/>
        <w:tblInd w:w="0" w:type="dxa"/>
        <w:tblLayout w:type="fixed"/>
        <w:tblCellMar>
          <w:top w:w="28" w:type="dxa"/>
          <w:left w:w="28" w:type="dxa"/>
          <w:bottom w:w="28" w:type="dxa"/>
          <w:right w:w="28" w:type="dxa"/>
        </w:tblCellMar>
      </w:tblPr>
      <w:tblGrid>
        <w:gridCol w:w="767"/>
        <w:gridCol w:w="672"/>
        <w:gridCol w:w="676"/>
        <w:gridCol w:w="883"/>
        <w:gridCol w:w="883"/>
        <w:gridCol w:w="1249"/>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 Illinois Corporation</w:t>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36-0698440</w:t>
            </w:r>
          </w:p>
        </w:tc>
      </w:tr>
    </w:tbl>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100 Abbott Park Road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Abbott Park, Illinois 60064-6400</w:t>
      </w:r>
    </w:p>
    <w:p>
      <w:pPr>
        <w:pStyle w:val="TextBody"/>
        <w:bidi w:val="0"/>
        <w:spacing w:lineRule="auto" w:line="288" w:before="120" w:after="283"/>
        <w:jc w:val="center"/>
        <w:rPr/>
      </w:pPr>
      <w:r>
        <w:rPr>
          <w:rFonts w:ascii="Times New Roman;serif" w:hAnsi="Times New Roman;serif"/>
          <w:b w:val="false"/>
          <w:color w:val="000000"/>
          <w:sz w:val="20"/>
        </w:rPr>
        <w:t xml:space="preserve">Telephone: </w:t>
      </w:r>
      <w:r>
        <w:rPr>
          <w:rFonts w:ascii="Times New Roman;serif" w:hAnsi="Times New Roman;serif"/>
          <w:b/>
          <w:color w:val="000000"/>
          <w:sz w:val="20"/>
        </w:rPr>
        <w:t>(224) 667-6100</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bl>
      <w:tblPr>
        <w:tblW w:w="7948" w:type="dxa"/>
        <w:jc w:val="left"/>
        <w:tblInd w:w="0" w:type="dxa"/>
        <w:tblLayout w:type="fixed"/>
        <w:tblCellMar>
          <w:top w:w="28" w:type="dxa"/>
          <w:left w:w="28" w:type="dxa"/>
          <w:bottom w:w="28" w:type="dxa"/>
          <w:right w:w="28" w:type="dxa"/>
        </w:tblCellMar>
      </w:tblPr>
      <w:tblGrid>
        <w:gridCol w:w="1093"/>
        <w:gridCol w:w="965"/>
        <w:gridCol w:w="971"/>
        <w:gridCol w:w="484"/>
        <w:gridCol w:w="484"/>
        <w:gridCol w:w="486"/>
        <w:gridCol w:w="1014"/>
        <w:gridCol w:w="1014"/>
        <w:gridCol w:w="1437"/>
      </w:tblGrid>
      <w:tr>
        <w:trPr/>
        <w:tc>
          <w:tcPr>
            <w:tcW w:w="1093"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top w:val="doub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65" w:type="dxa"/>
            <w:gridSpan w:val="3"/>
            <w:tcBorders>
              <w:top w:val="doub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29"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Without Par Value</w:t>
            </w:r>
          </w:p>
        </w:tc>
        <w:tc>
          <w:tcPr>
            <w:tcW w:w="1454"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ABT</w:t>
            </w:r>
          </w:p>
        </w:tc>
        <w:tc>
          <w:tcPr>
            <w:tcW w:w="3465" w:type="dxa"/>
            <w:gridSpan w:val="3"/>
            <w:tcBorders>
              <w:top w:val="single" w:sz="8" w:space="0" w:color="000000"/>
              <w:left w:val="single" w:sz="8" w:space="0" w:color="000000"/>
              <w:bottom w:val="double" w:sz="8" w:space="0" w:color="000000"/>
            </w:tcBorders>
            <w:tcMar>
              <w:top w:w="52" w:type="dxa"/>
              <w:bottom w:w="3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NYSE Texas</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(l) has filed all reports required to be filed by Section 13 or 15(d) of the Securities Exchange Act of l934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44" w:type="dxa"/>
        <w:jc w:val="left"/>
        <w:tblInd w:w="0" w:type="dxa"/>
        <w:tblLayout w:type="fixed"/>
        <w:tblCellMar>
          <w:top w:w="28" w:type="dxa"/>
          <w:left w:w="28" w:type="dxa"/>
          <w:bottom w:w="28" w:type="dxa"/>
          <w:right w:w="28" w:type="dxa"/>
        </w:tblCellMar>
      </w:tblPr>
      <w:tblGrid>
        <w:gridCol w:w="819"/>
        <w:gridCol w:w="721"/>
        <w:gridCol w:w="725"/>
        <w:gridCol w:w="754"/>
        <w:gridCol w:w="754"/>
        <w:gridCol w:w="1071"/>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Large Accelerated Filer </w:t>
            </w:r>
            <w:r>
              <w:rPr>
                <w:rFonts w:ascii="Wingdings;sans-serif" w:hAnsi="Wingdings;sans-serif"/>
                <w:b w:val="false"/>
                <w:color w:val="000000"/>
                <w:sz w:val="20"/>
              </w:rPr>
              <w:t>x</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Accelerated Filer </w:t>
            </w:r>
            <w:r>
              <w:rPr>
                <w:rFonts w:ascii="Wingdings;sans-serif" w:hAnsi="Wingdings;sans-serif"/>
                <w:b w:val="false"/>
                <w:color w:val="000000"/>
                <w:sz w:val="20"/>
              </w:rPr>
              <w:t>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Non-Accelerated Filer </w:t>
            </w:r>
            <w:r>
              <w:rPr>
                <w:rFonts w:ascii="Wingdings;sans-serif" w:hAnsi="Wingdings;sans-serif"/>
                <w:b w:val="false"/>
                <w:color w:val="000000"/>
                <w:sz w:val="20"/>
              </w:rPr>
              <w:t>o</w:t>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Smaller reporting company </w:t>
            </w:r>
            <w:r>
              <w:rPr>
                <w:rFonts w:ascii="Wingdings;sans-serif" w:hAnsi="Wingdings;sans-serif"/>
                <w:b w:val="false"/>
                <w:color w:val="000000"/>
                <w:sz w:val="20"/>
              </w:rPr>
              <w:t>o</w:t>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Abbott Laboratories had 1,730,383,296 common shares without par value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480060"/>
                <wp:effectExtent l="0" t="0" r="0" b="0"/>
                <wp:wrapNone/>
                <wp:docPr id="1" name="Frame1"/>
                <a:graphic xmlns:a="http://schemas.openxmlformats.org/drawingml/2006/main">
                  <a:graphicData uri="http://schemas.microsoft.com/office/word/2010/wordprocessingShape">
                    <wps:wsp>
                      <wps:cNvSpPr txBox="1"/>
                      <wps:spPr>
                        <a:xfrm>
                          <a:off x="0" y="0"/>
                          <a:ext cx="6480175" cy="480060"/>
                        </a:xfrm>
                        <a:prstGeom prst="rect"/>
                        <a:solidFill>
                          <a:srgbClr val="FFFFFF"/>
                        </a:solidFill>
                      </wps:spPr>
                      <wps:txbx>
                        <w:txbxContent>
                          <w:p>
                            <w:pPr>
                              <w:pStyle w:val="TextBody"/>
                              <w:bidi w:val="0"/>
                              <w:spacing w:before="480" w:after="6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480" w:after="600"/>
                        <w:jc w:val="center"/>
                        <w:rPr/>
                      </w:pPr>
                      <w:r>
                        <w:rPr/>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Abbott Laboratories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Table of Contents</w:t>
      </w:r>
    </w:p>
    <w:tbl>
      <w:tblPr>
        <w:tblW w:w="8520" w:type="dxa"/>
        <w:jc w:val="left"/>
        <w:tblInd w:w="0" w:type="dxa"/>
        <w:tblLayout w:type="fixed"/>
        <w:tblCellMar>
          <w:top w:w="28" w:type="dxa"/>
          <w:left w:w="28" w:type="dxa"/>
          <w:bottom w:w="28" w:type="dxa"/>
          <w:right w:w="28" w:type="dxa"/>
        </w:tblCellMar>
      </w:tblPr>
      <w:tblGrid>
        <w:gridCol w:w="2893"/>
        <w:gridCol w:w="2540"/>
        <w:gridCol w:w="2546"/>
        <w:gridCol w:w="158"/>
        <w:gridCol w:w="158"/>
        <w:gridCol w:w="225"/>
      </w:tblGrid>
      <w:tr>
        <w:trPr/>
        <w:tc>
          <w:tcPr>
            <w:tcW w:w="2893"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0">
              <w:r>
                <w:rPr>
                  <w:rStyle w:val="InternetLink"/>
                  <w:rFonts w:ascii="Times New Roman;serif" w:hAnsi="Times New Roman;serif"/>
                  <w:b/>
                  <w:color w:val="0000FF"/>
                  <w:sz w:val="20"/>
                  <w:u w:val="single"/>
                </w:rPr>
                <w:t>Part I - Financial Information</w:t>
              </w:r>
            </w:hyperlink>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3">
              <w:r>
                <w:rPr>
                  <w:rStyle w:val="InternetLink"/>
                  <w:rFonts w:ascii="Times New Roman;serif" w:hAnsi="Times New Roman;serif"/>
                  <w:b w:val="false"/>
                  <w:color w:val="0000FF"/>
                  <w:sz w:val="20"/>
                  <w:u w:val="single"/>
                </w:rPr>
                <w:t>Item 1. Financial Statements and Supplementary Data</w:t>
              </w:r>
            </w:hyperlink>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6">
              <w:r>
                <w:rPr>
                  <w:rStyle w:val="InternetLink"/>
                  <w:rFonts w:ascii="Times New Roman;serif" w:hAnsi="Times New Roman;serif"/>
                  <w:b w:val="false"/>
                  <w:color w:val="0000FF"/>
                  <w:sz w:val="20"/>
                  <w:u w:val="single"/>
                </w:rPr>
                <w:t>Condensed Consolidated Statement of Earnings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6">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9">
              <w:r>
                <w:rPr>
                  <w:rStyle w:val="InternetLink"/>
                  <w:rFonts w:ascii="Times New Roman;serif" w:hAnsi="Times New Roman;serif"/>
                  <w:b w:val="false"/>
                  <w:color w:val="0000FF"/>
                  <w:sz w:val="20"/>
                  <w:u w:val="single"/>
                </w:rPr>
                <w:t>Condensed Consolidated Statement of Comprehensive Income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9">
              <w:r>
                <w:rPr>
                  <w:rStyle w:val="InternetLink"/>
                  <w:rFonts w:ascii="Times New Roman;serif" w:hAnsi="Times New Roman;serif"/>
                  <w:b w:val="false"/>
                  <w:strike w:val="false"/>
                  <w:dstrike w:val="false"/>
                  <w:color w:val="000000"/>
                  <w:sz w:val="20"/>
                  <w:u w:val="none"/>
                  <w:effect w:val="non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22">
              <w:r>
                <w:rPr>
                  <w:rStyle w:val="InternetLink"/>
                  <w:rFonts w:ascii="Times New Roman;serif" w:hAnsi="Times New Roman;serif"/>
                  <w:b w:val="false"/>
                  <w:color w:val="0000FF"/>
                  <w:sz w:val="20"/>
                  <w:u w:val="single"/>
                </w:rPr>
                <w:t>Condensed Consolidated Balance Sheet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22">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25">
              <w:r>
                <w:rPr>
                  <w:rStyle w:val="InternetLink"/>
                  <w:rFonts w:ascii="Times New Roman;serif" w:hAnsi="Times New Roman;serif"/>
                  <w:b w:val="false"/>
                  <w:color w:val="0000FF"/>
                  <w:sz w:val="20"/>
                  <w:u w:val="single"/>
                </w:rPr>
                <w:t>Condensed Consolidated Statement of Shareholders’ Investment</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25">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28">
              <w:r>
                <w:rPr>
                  <w:rStyle w:val="InternetLink"/>
                  <w:rFonts w:ascii="Times New Roman;serif" w:hAnsi="Times New Roman;serif"/>
                  <w:b w:val="false"/>
                  <w:color w:val="0000FF"/>
                  <w:sz w:val="20"/>
                  <w:u w:val="single"/>
                </w:rPr>
                <w:t>Condensed Consolidated Statement of Cash Flows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28">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31">
              <w:r>
                <w:rPr>
                  <w:rStyle w:val="InternetLink"/>
                  <w:rFonts w:ascii="Times New Roman;serif" w:hAnsi="Times New Roman;serif"/>
                  <w:b w:val="false"/>
                  <w:color w:val="0000FF"/>
                  <w:sz w:val="20"/>
                  <w:u w:val="single"/>
                </w:rPr>
                <w:t>Notes to the Condensed Consolidated Financial Statements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31">
              <w:r>
                <w:rPr>
                  <w:rStyle w:val="InternetLink"/>
                  <w:rFonts w:ascii="Times New Roman;serif" w:hAnsi="Times New Roman;serif"/>
                  <w:b w:val="false"/>
                  <w:strike w:val="false"/>
                  <w:dstrike w:val="false"/>
                  <w:color w:val="000000"/>
                  <w:sz w:val="20"/>
                  <w:u w:val="none"/>
                  <w:effect w:val="none"/>
                </w:rPr>
                <w:t>9</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8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88">
              <w:r>
                <w:rPr>
                  <w:rStyle w:val="InternetLink"/>
                  <w:rFonts w:ascii="Times New Roman;serif" w:hAnsi="Times New Roman;serif"/>
                  <w:b w:val="false"/>
                  <w:strike w:val="false"/>
                  <w:dstrike w:val="false"/>
                  <w:color w:val="000000"/>
                  <w:sz w:val="20"/>
                  <w:u w:val="none"/>
                  <w:effect w:val="none"/>
                </w:rPr>
                <w:t>26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15">
              <w:r>
                <w:rPr>
                  <w:rStyle w:val="InternetLink"/>
                  <w:rFonts w:ascii="Times New Roman;serif" w:hAnsi="Times New Roman;serif"/>
                  <w:b w:val="false"/>
                  <w:color w:val="0000FF"/>
                  <w:sz w:val="20"/>
                  <w:u w:val="single"/>
                </w:rPr>
                <w:t>Item 4. Controls and Procedures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15">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18">
              <w:r>
                <w:rPr>
                  <w:rStyle w:val="InternetLink"/>
                  <w:rFonts w:ascii="Times New Roman;serif" w:hAnsi="Times New Roman;serif"/>
                  <w:b/>
                  <w:color w:val="0000FF"/>
                  <w:sz w:val="20"/>
                  <w:u w:val="single"/>
                </w:rPr>
                <w:t>Part II - Other Information</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18">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21">
              <w:r>
                <w:rPr>
                  <w:rStyle w:val="InternetLink"/>
                  <w:rFonts w:ascii="Times New Roman;serif" w:hAnsi="Times New Roman;serif"/>
                  <w:b w:val="false"/>
                  <w:color w:val="0000FF"/>
                  <w:sz w:val="20"/>
                  <w:u w:val="single"/>
                </w:rPr>
                <w:t>Item 1. Legal Proceedings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21">
              <w:r>
                <w:rPr>
                  <w:rStyle w:val="InternetLink"/>
                  <w:rFonts w:ascii="Times New Roman;serif" w:hAnsi="Times New Roman;serif"/>
                  <w:b w:val="false"/>
                  <w:strike w:val="false"/>
                  <w:dstrike w:val="false"/>
                  <w:color w:val="000000"/>
                  <w:sz w:val="20"/>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24">
              <w:r>
                <w:rPr>
                  <w:rStyle w:val="InternetLink"/>
                  <w:rFonts w:ascii="Times New Roman;serif" w:hAnsi="Times New Roman;serif"/>
                  <w:b w:val="false"/>
                  <w:color w:val="0000FF"/>
                  <w:sz w:val="20"/>
                  <w:u w:val="single"/>
                </w:rPr>
                <w:t>Item 2. Unregistered Sales of Equity Securities and Use of Proceeds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27">
              <w:r>
                <w:rPr>
                  <w:rStyle w:val="InternetLink"/>
                  <w:rFonts w:ascii="Times New Roman;serif" w:hAnsi="Times New Roman;serif"/>
                  <w:b w:val="false"/>
                  <w:color w:val="0000FF"/>
                  <w:sz w:val="20"/>
                  <w:u w:val="single"/>
                </w:rPr>
                <w:t>Item 6. Exhibits</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27">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c6c8db9c30499fa6bd9cef266445ee_133">
              <w:r>
                <w:rPr>
                  <w:rStyle w:val="InternetLink"/>
                  <w:rFonts w:ascii="Times New Roman;serif" w:hAnsi="Times New Roman;serif"/>
                  <w:b w:val="false"/>
                  <w:color w:val="0000FF"/>
                  <w:sz w:val="20"/>
                  <w:u w:val="single"/>
                </w:rPr>
                <w:t>Signature</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c6c8db9c30499fa6bd9cef266445ee_133">
              <w:r>
                <w:rPr>
                  <w:rStyle w:val="InternetLink"/>
                  <w:rFonts w:ascii="Times New Roman;serif" w:hAnsi="Times New Roman;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Earnings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 except per share data; shares in thousands)</w:t>
      </w:r>
    </w:p>
    <w:tbl>
      <w:tblPr>
        <w:tblW w:w="10205" w:type="dxa"/>
        <w:jc w:val="left"/>
        <w:tblInd w:w="0" w:type="dxa"/>
        <w:tblLayout w:type="fixed"/>
        <w:tblCellMar>
          <w:top w:w="28" w:type="dxa"/>
          <w:left w:w="28" w:type="dxa"/>
          <w:bottom w:w="28" w:type="dxa"/>
          <w:right w:w="28" w:type="dxa"/>
        </w:tblCellMar>
      </w:tblPr>
      <w:tblGrid>
        <w:gridCol w:w="1788"/>
        <w:gridCol w:w="1512"/>
        <w:gridCol w:w="1537"/>
        <w:gridCol w:w="220"/>
        <w:gridCol w:w="756"/>
        <w:gridCol w:w="109"/>
        <w:gridCol w:w="109"/>
        <w:gridCol w:w="109"/>
        <w:gridCol w:w="109"/>
        <w:gridCol w:w="220"/>
        <w:gridCol w:w="756"/>
        <w:gridCol w:w="109"/>
        <w:gridCol w:w="109"/>
        <w:gridCol w:w="109"/>
        <w:gridCol w:w="109"/>
        <w:gridCol w:w="220"/>
        <w:gridCol w:w="756"/>
        <w:gridCol w:w="109"/>
        <w:gridCol w:w="109"/>
        <w:gridCol w:w="109"/>
        <w:gridCol w:w="109"/>
        <w:gridCol w:w="220"/>
        <w:gridCol w:w="756"/>
        <w:gridCol w:w="156"/>
      </w:tblGrid>
      <w:tr>
        <w:trPr/>
        <w:tc>
          <w:tcPr>
            <w:tcW w:w="178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amortization of intangible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 and expenses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17,755 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earnings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foreign exchange (gain)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taxes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on earnings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Used for Basic Earnings Per Common Share</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1,740,420 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Stock Options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Number of Common Shares Outstanding Plus Dilutive Common Stock Options</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1,742,981 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1,749,054 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Common Stock Options Having No Dilutive Effect</w:t>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rPr>
        <w:t>The accompanying notes to the condensed consolidated financial statements are an integral part of this statement</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Comprehensive Income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10205" w:type="dxa"/>
        <w:jc w:val="left"/>
        <w:tblInd w:w="0" w:type="dxa"/>
        <w:tblLayout w:type="fixed"/>
        <w:tblCellMar>
          <w:top w:w="28" w:type="dxa"/>
          <w:left w:w="28" w:type="dxa"/>
          <w:bottom w:w="28" w:type="dxa"/>
          <w:right w:w="28" w:type="dxa"/>
        </w:tblCellMar>
      </w:tblPr>
      <w:tblGrid>
        <w:gridCol w:w="2176"/>
        <w:gridCol w:w="1637"/>
        <w:gridCol w:w="162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5"/>
      </w:tblGrid>
      <w:tr>
        <w:trPr/>
        <w:tc>
          <w:tcPr>
            <w:tcW w:w="2176"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 adjustments, net of taxes of $5 and $(6) in 2026 and $26 and $58 in 2025</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actuarial gains (losses) and amortization of net actuarial losses and prior service costs and credits, net of taxes of $1 and $2 in 2026 and $— and $— in 2025</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gains (losses) for derivative instruments designated as cash flow hedges, net of taxes of $13 and $45 in 2026 and $(69) and $(109) in 2025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766" w:type="dxa"/>
        <w:jc w:val="left"/>
        <w:tblInd w:w="0" w:type="dxa"/>
        <w:tblLayout w:type="fixed"/>
        <w:tblCellMar>
          <w:top w:w="28" w:type="dxa"/>
          <w:left w:w="28" w:type="dxa"/>
          <w:bottom w:w="28" w:type="dxa"/>
          <w:right w:w="28" w:type="dxa"/>
        </w:tblCellMar>
      </w:tblPr>
      <w:tblGrid>
        <w:gridCol w:w="2642"/>
        <w:gridCol w:w="2318"/>
        <w:gridCol w:w="2329"/>
        <w:gridCol w:w="211"/>
        <w:gridCol w:w="691"/>
        <w:gridCol w:w="109"/>
        <w:gridCol w:w="109"/>
        <w:gridCol w:w="109"/>
        <w:gridCol w:w="109"/>
        <w:gridCol w:w="227"/>
        <w:gridCol w:w="746"/>
        <w:gridCol w:w="166"/>
      </w:tblGrid>
      <w:tr>
        <w:trPr/>
        <w:tc>
          <w:tcPr>
            <w:tcW w:w="2642"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Accumulated Other Comprehensive Income (Loss) Information, net of tax:</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foreign currency translation (loss) adjustments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actuarial (losses) and prior service (costs) and credits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gains (losses) on derivative instruments designated as cash flow hedges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(6,001)</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Balance Sheet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9093" w:type="dxa"/>
        <w:jc w:val="center"/>
        <w:tblInd w:w="0" w:type="dxa"/>
        <w:tblLayout w:type="fixed"/>
        <w:tblCellMar>
          <w:top w:w="28" w:type="dxa"/>
          <w:left w:w="28" w:type="dxa"/>
          <w:bottom w:w="28" w:type="dxa"/>
          <w:right w:w="28" w:type="dxa"/>
        </w:tblCellMar>
      </w:tblPr>
      <w:tblGrid>
        <w:gridCol w:w="2374"/>
        <w:gridCol w:w="2093"/>
        <w:gridCol w:w="2118"/>
        <w:gridCol w:w="196"/>
        <w:gridCol w:w="736"/>
        <w:gridCol w:w="109"/>
        <w:gridCol w:w="109"/>
        <w:gridCol w:w="109"/>
        <w:gridCol w:w="109"/>
        <w:gridCol w:w="224"/>
        <w:gridCol w:w="740"/>
        <w:gridCol w:w="176"/>
      </w:tblGrid>
      <w:tr>
        <w:trPr/>
        <w:tc>
          <w:tcPr>
            <w:tcW w:w="237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Trade receivables, less allowances of $486 in 2026 and $490 in 2025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6,488 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25,996 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at cost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property and equipment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 of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18,422 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Shareholders’ Investment</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commissions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9,896 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Post-employment obligations, deferred income taxes, and other 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Shareholders’ Investment: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one dollar par value Authorized — 1,000,000 shares, none issued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shares, without par value Authorized — 2,400,000,000 shares </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Issued at stated capital amount — Shares: 2026: 1,998,291,279; 2025: 1,996,795,525</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shares held in treasury, at cost — Shares: 2026: 267,907,258; 2025: 260,196,074</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employed in the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Abbott Shareholders’ Investment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52,130 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Shareholders’ Investment</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52,771 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109,215 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86,713 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Shareholders’ Investment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shares and per share data)</w:t>
      </w:r>
    </w:p>
    <w:tbl>
      <w:tblPr>
        <w:tblW w:w="8964" w:type="dxa"/>
        <w:jc w:val="left"/>
        <w:tblInd w:w="0" w:type="dxa"/>
        <w:tblLayout w:type="fixed"/>
        <w:tblCellMar>
          <w:top w:w="28" w:type="dxa"/>
          <w:left w:w="28" w:type="dxa"/>
          <w:bottom w:w="28" w:type="dxa"/>
          <w:right w:w="28" w:type="dxa"/>
        </w:tblCellMar>
      </w:tblPr>
      <w:tblGrid>
        <w:gridCol w:w="2371"/>
        <w:gridCol w:w="2076"/>
        <w:gridCol w:w="2093"/>
        <w:gridCol w:w="196"/>
        <w:gridCol w:w="721"/>
        <w:gridCol w:w="109"/>
        <w:gridCol w:w="109"/>
        <w:gridCol w:w="109"/>
        <w:gridCol w:w="109"/>
        <w:gridCol w:w="196"/>
        <w:gridCol w:w="721"/>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1,998,233,756; 2025: 1,995,858,606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57,523; 2025: 589,863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1,998,291,279; 2025: 1,996,448,469</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Held in Treasury: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256,420,602; 2025: 256,021,416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115,789; 2025: 34,961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11,602,445; 2025: 2,275</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0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267,907,258; 2025: 255,988,730</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Employed in the Business: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shares (per share — 2026: $0.63; 2025: $0.59)</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common and treasury share transactions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share of income (loss), net of distributions and share repurchases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Shareholders’ Investment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shares and per share data)</w:t>
      </w:r>
    </w:p>
    <w:tbl>
      <w:tblPr>
        <w:tblW w:w="8979" w:type="dxa"/>
        <w:jc w:val="center"/>
        <w:tblInd w:w="0" w:type="dxa"/>
        <w:tblLayout w:type="fixed"/>
        <w:tblCellMar>
          <w:top w:w="28" w:type="dxa"/>
          <w:left w:w="28" w:type="dxa"/>
          <w:bottom w:w="28" w:type="dxa"/>
          <w:right w:w="28" w:type="dxa"/>
        </w:tblCellMar>
      </w:tblPr>
      <w:tblGrid>
        <w:gridCol w:w="2371"/>
        <w:gridCol w:w="2076"/>
        <w:gridCol w:w="2093"/>
        <w:gridCol w:w="211"/>
        <w:gridCol w:w="721"/>
        <w:gridCol w:w="109"/>
        <w:gridCol w:w="109"/>
        <w:gridCol w:w="109"/>
        <w:gridCol w:w="109"/>
        <w:gridCol w:w="196"/>
        <w:gridCol w:w="721"/>
        <w:gridCol w:w="154"/>
      </w:tblGrid>
      <w:tr>
        <w:trPr/>
        <w:tc>
          <w:tcPr>
            <w:tcW w:w="2371"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1,996,795,525; 2025: 1,991,472,630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1,495,754; 2025: 4,975,839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1,998,291,279; 2025: 1,996,448,469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Shares Held in Treasury: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260,196,074; 2025: 259,774,639</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 under incentive stock programs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4,042,017; 2025: 3,970,900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Purchased</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11,753,201; 2025: 184,991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2026: 267,907,258; 2025: 255,988,730</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Employed in the Business: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dividends declared on common shares (per share — 2026: $1.26; 2025: $1.18)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common and treasury share transactions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in Subsidiaries: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 share of income (loss), net of distributions and share repurchases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Condensed Consolidated Statement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(dollars in millions)</w:t>
      </w:r>
    </w:p>
    <w:tbl>
      <w:tblPr>
        <w:tblW w:w="8618" w:type="dxa"/>
        <w:jc w:val="left"/>
        <w:tblInd w:w="0" w:type="dxa"/>
        <w:tblLayout w:type="fixed"/>
        <w:tblCellMar>
          <w:top w:w="28" w:type="dxa"/>
          <w:left w:w="28" w:type="dxa"/>
          <w:bottom w:w="28" w:type="dxa"/>
          <w:right w:w="28" w:type="dxa"/>
        </w:tblCellMar>
      </w:tblPr>
      <w:tblGrid>
        <w:gridCol w:w="2311"/>
        <w:gridCol w:w="2025"/>
        <w:gridCol w:w="2038"/>
        <w:gridCol w:w="211"/>
        <w:gridCol w:w="616"/>
        <w:gridCol w:w="109"/>
        <w:gridCol w:w="109"/>
        <w:gridCol w:w="109"/>
        <w:gridCol w:w="109"/>
        <w:gridCol w:w="211"/>
        <w:gridCol w:w="616"/>
        <w:gridCol w:w="154"/>
      </w:tblGrid>
      <w:tr>
        <w:trPr/>
        <w:tc>
          <w:tcPr>
            <w:tcW w:w="2311"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6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earnings to net cash from operating activities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Investing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and technologies,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(purchases) of other investment securities,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(Used in)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 From (Used in)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borrowings (repayments) of short-term debt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common shares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options exercised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From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notes to the condensed consolidated financial statements are an integral part of this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 — Basis of Presentation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pursuant to rules and regulations of the Securities and Exchange Commission and, therefore, do not include all information and footnote disclosures normally included in audited financial statements. However, in the opinion of management, all adjustments (which include only normal adjustments) necessary to present fairly the results of operations, financial position, and cash flows have been made. These statements should be read in conjunction with the financial statements included in Abbott’s Annual Report on Form 10-K for the year ended December 31, 2025. The condensed consolidated financial statements include the accounts of the parent company, subsidiaries, and any variable interest entities for which Abbott is the primary beneficiary, after elimination of intercompany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2 — New Accounting Standards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 Accounting Standards Not Yet Adopted</w:t>
      </w:r>
    </w:p>
    <w:p>
      <w:pPr>
        <w:pStyle w:val="TextBody"/>
        <w:bidi w:val="0"/>
        <w:spacing w:lineRule="auto" w:line="288" w:before="120" w:after="283"/>
        <w:jc w:val="both"/>
        <w:rPr/>
      </w:pPr>
      <w:r>
        <w:rPr>
          <w:rFonts w:ascii="Times New Roman;serif" w:hAnsi="Times New Roman;serif"/>
          <w:b w:val="false"/>
          <w:color w:val="000000"/>
          <w:sz w:val="20"/>
        </w:rPr>
        <w:t xml:space="preserve">In November 2024, the Financial Accounting Standards Board (FASB) issued Accounting Standards Update (ASU) 2024-03, </w:t>
      </w:r>
      <w:r>
        <w:rPr>
          <w:rFonts w:ascii="Times New Roman;serif" w:hAnsi="Times New Roman;serif"/>
          <w:b w:val="false"/>
          <w:i/>
          <w:color w:val="000000"/>
          <w:sz w:val="20"/>
        </w:rPr>
        <w:t>Income Statement (Subtopic 220-40): Reporting Comprehensive Income - Expense Disaggregation Disclosures</w:t>
      </w:r>
      <w:r>
        <w:rPr>
          <w:rFonts w:ascii="Times New Roman;serif" w:hAnsi="Times New Roman;serif"/>
          <w:b w:val="false"/>
          <w:color w:val="000000"/>
          <w:sz w:val="20"/>
        </w:rPr>
        <w:t>, which requires an entity to disclose on an annual and interim basis, disaggregated information about specific income statement expense categories. The guidance should be applied prospectively with the option to apply the standard retrospectively. The standard becomes effective for Abbott for full year 2027 reporting. Abbott is currently evaluating the impact of this new standard on its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revenues are derived primarily from the sale of a broad portfolio of healthcare products under short-term receivable arrangements. Abbott has four reportable segments: Established Pharmaceutical Products, Nutritional Products, Diagnostic Products, and Medical Devices.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detail by sales category:</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44"/>
        <w:gridCol w:w="900"/>
        <w:gridCol w:w="907"/>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5"/>
      </w:tblGrid>
      <w:tr>
        <w:trPr/>
        <w:tc>
          <w:tcPr>
            <w:tcW w:w="104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Established Pharmaceutical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 Emerging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Nutritional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Pediatric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Adult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Diagnostic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Laboratory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Rapid and Molecular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Cancer Diagnostics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Rhythm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Electrophysiology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Heart Failure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Vascular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Heart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Diabetes Care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5,369 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 (Continued)</w:t>
      </w:r>
    </w:p>
    <w:tbl>
      <w:tblPr>
        <w:tblW w:w="10205" w:type="dxa"/>
        <w:jc w:val="left"/>
        <w:tblInd w:w="0" w:type="dxa"/>
        <w:tblLayout w:type="fixed"/>
        <w:tblCellMar>
          <w:top w:w="28" w:type="dxa"/>
          <w:left w:w="28" w:type="dxa"/>
          <w:bottom w:w="28" w:type="dxa"/>
          <w:right w:w="28" w:type="dxa"/>
        </w:tblCellMar>
      </w:tblPr>
      <w:tblGrid>
        <w:gridCol w:w="995"/>
        <w:gridCol w:w="835"/>
        <w:gridCol w:w="841"/>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55"/>
      </w:tblGrid>
      <w:tr>
        <w:trPr/>
        <w:tc>
          <w:tcPr>
            <w:tcW w:w="995"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Established Pharmaceutical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Key Emerging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Nutritional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Pediatric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Adult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4,358 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Diagnostic Products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Core Laboratory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Rapid and Molecular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Cancer Diagnostics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Rhythm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Electrophysiology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Heart Failure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Vascular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Heart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Diabetes Care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90"/>
        <w:gridCol w:w="167"/>
        <w:gridCol w:w="169"/>
        <w:gridCol w:w="2835"/>
        <w:gridCol w:w="2835"/>
        <w:gridCol w:w="400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2835" w:type="dxa"/>
            <w:tcBorders/>
            <w:vAlign w:val="center"/>
          </w:tcPr>
          <w:p>
            <w:pPr>
              <w:pStyle w:val="TableContents"/>
              <w:bidi w:val="0"/>
              <w:spacing w:before="0" w:after="283"/>
              <w:jc w:val="left"/>
              <w:rPr>
                <w:sz w:val="4"/>
                <w:szCs w:val="4"/>
              </w:rPr>
            </w:pPr>
            <w:r>
              <w:rPr>
                <w:sz w:val="4"/>
                <w:szCs w:val="4"/>
              </w:rPr>
            </w:r>
          </w:p>
        </w:tc>
        <w:tc>
          <w:tcPr>
            <w:tcW w:w="4009"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w:t>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Abbott's Amplatzer Amulet Left Atrial Appendage Occluder device and related accessories were transferred from Structural Heart to Electrophysiology on January 1, 2026. As a result, $55 million of sales in the second quarter of 2025 and $101 million of sales in the first six months of 2025 were moved from Structural Heart to Electrophysiology.</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in 2026, Abbott aggregated its previously reported Rapid Diagnostics, Molecular Diagnostics, and Point of Care businesses into the Rapid and Molecular Diagnostics business.</w:t>
            </w:r>
          </w:p>
        </w:tc>
      </w:tr>
      <w:tr>
        <w:trPr/>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 March 23, 2026, Abbott completed the acquisition of Exact Sciences Corporation (Exact Sciences). Following the acquisition, the sales of Exact Sciences are presented as Cancer Diagnostics.</w:t>
            </w:r>
          </w:p>
        </w:tc>
      </w:tr>
    </w:tbl>
    <w:p>
      <w:pPr>
        <w:pStyle w:val="TextBody"/>
        <w:bidi w:val="0"/>
        <w:spacing w:before="0" w:after="0"/>
        <w:ind w:left="0" w:right="0" w:firstLine="450"/>
        <w:jc w:val="left"/>
        <w:rPr/>
      </w:pPr>
      <w:r>
        <w:rPr/>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3 — Revenue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 estimated revenue expected to be recognized in the future related to performance obligations that are unsatisfied (or partially unsatisfied) was $6.2 billion in the Diagnostic Products segment, $455 million in the Medical Devices segment, and $243 million in the Established Pharmaceuticals Products segment. Abbott expects to recognize revenue on approximately 52 percent of these remaining performance obligations over the next 24 months, approximately 18 percent over the subsequent 12 months, and the remainder thereafter.</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These performance obligations primarily reflect the future sale of products in contracts with minimum purchase obligations, extended warranty or service obligations related to previously sold equipment, and remote monitoring services related to previously implanted devices. Abbott has applied the practical expedient described in FASB Accounting Standards Codification (ASC) 606-10-50-14 and has not included remaining performance obligations related to contracts with original expected durations of one year or less in the amounts above.</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Contract Assets and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discloses Trade receivables separately in the Condensed Consolidated Balance Sheet at the net amount expected to be collected. Contract assets primarily relate to Abbott’s conditional right to consideration for work completed but not billed at the reporting date. Contract assets at the beginning and the end of the period, as well as the changes in the balance, were not significant.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liabilities primarily relate to payments received from customers in advance of performance under the contract. Abbott’s contract liabilities arise primarily in the Medical Devices segment when payment is received upfront for various multi-period extended service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Changes in the contract liabilities during the period are as follows:</w:t>
      </w:r>
    </w:p>
    <w:p>
      <w:pPr>
        <w:pStyle w:val="TextBody"/>
        <w:bidi w:val="0"/>
        <w:spacing w:before="0" w:after="0"/>
        <w:jc w:val="both"/>
        <w:rPr/>
      </w:pPr>
      <w:r>
        <w:rPr/>
      </w:r>
    </w:p>
    <w:tbl>
      <w:tblPr>
        <w:tblW w:w="5838" w:type="dxa"/>
        <w:jc w:val="left"/>
        <w:tblInd w:w="0" w:type="dxa"/>
        <w:tblLayout w:type="fixed"/>
        <w:tblCellMar>
          <w:top w:w="28" w:type="dxa"/>
          <w:left w:w="28" w:type="dxa"/>
          <w:bottom w:w="28" w:type="dxa"/>
          <w:right w:w="28" w:type="dxa"/>
        </w:tblCellMar>
      </w:tblPr>
      <w:tblGrid>
        <w:gridCol w:w="1695"/>
        <w:gridCol w:w="1490"/>
        <w:gridCol w:w="1495"/>
        <w:gridCol w:w="109"/>
        <w:gridCol w:w="109"/>
        <w:gridCol w:w="109"/>
        <w:gridCol w:w="211"/>
        <w:gridCol w:w="46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from cash received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related to contract liability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Supplemental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Shares of unvested restricted stock that contain non-forfeitable rights to dividends are treated as participating securities and are included in the computation of earnings per share under the two-class method. Under the two-class method, net earnings are allocated between common shares and participating securities. Net earnings allocated to common shares for the three months ended June 30, 2026, and 2025, were $0.9 billion and $1.8 billion, respectively, and for the six months ended June 30, 2026, and 2025, were $2.0 billion and $3.1 billion,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net in Net Cash From Operating Activities in the Condensed Consolidated Statement of Cash Flows for the first six months of 2026 includes the payment of cash taxes of $856 million. The first six months of 2025 included $246 million of pension contributions and the payment of cash taxes of $945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4 — Supplemental Financial Information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summarizes the activity for the first six months of 2026 related to the allowance for doubtful accounts as of June 30, 2026:</w:t>
      </w:r>
    </w:p>
    <w:p>
      <w:pPr>
        <w:pStyle w:val="TextBody"/>
        <w:bidi w:val="0"/>
        <w:spacing w:before="0" w:after="0"/>
        <w:jc w:val="both"/>
        <w:rPr/>
      </w:pPr>
      <w:r>
        <w:rPr/>
      </w:r>
    </w:p>
    <w:tbl>
      <w:tblPr>
        <w:tblW w:w="4728" w:type="dxa"/>
        <w:jc w:val="left"/>
        <w:tblInd w:w="0" w:type="dxa"/>
        <w:tblLayout w:type="fixed"/>
        <w:tblCellMar>
          <w:top w:w="28" w:type="dxa"/>
          <w:left w:w="28" w:type="dxa"/>
          <w:bottom w:w="28" w:type="dxa"/>
          <w:right w:w="28" w:type="dxa"/>
        </w:tblCellMar>
      </w:tblPr>
      <w:tblGrid>
        <w:gridCol w:w="1293"/>
        <w:gridCol w:w="1135"/>
        <w:gridCol w:w="1142"/>
        <w:gridCol w:w="109"/>
        <w:gridCol w:w="109"/>
        <w:gridCol w:w="109"/>
        <w:gridCol w:w="211"/>
        <w:gridCol w:w="466"/>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Provisions/charges to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charged off and other deductions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allowance for doubtful accounts reflects the current estimate of credit losses expected to be incurred over the life of the accounts receivable. Abbott considers various factors in establishing, monitoring, and adjusting its allowance for doubtful accounts, including the aging of the accounts and aging trends, the historical level of charge-offs, and specific exposures related to particular customers. Abbott also monitors other risk factors and forward-looking information, such as country risk, when determining credit limits for customers and establishing adequate allowances.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long-term investments are as follows:</w:t>
      </w:r>
    </w:p>
    <w:tbl>
      <w:tblPr>
        <w:tblW w:w="4784" w:type="dxa"/>
        <w:jc w:val="left"/>
        <w:tblInd w:w="0" w:type="dxa"/>
        <w:tblLayout w:type="fixed"/>
        <w:tblCellMar>
          <w:top w:w="28" w:type="dxa"/>
          <w:left w:w="28" w:type="dxa"/>
          <w:bottom w:w="28" w:type="dxa"/>
          <w:right w:w="28" w:type="dxa"/>
        </w:tblCellMar>
      </w:tblPr>
      <w:tblGrid>
        <w:gridCol w:w="744"/>
        <w:gridCol w:w="652"/>
        <w:gridCol w:w="658"/>
        <w:gridCol w:w="109"/>
        <w:gridCol w:w="109"/>
        <w:gridCol w:w="109"/>
        <w:gridCol w:w="211"/>
        <w:gridCol w:w="616"/>
        <w:gridCol w:w="109"/>
        <w:gridCol w:w="109"/>
        <w:gridCol w:w="109"/>
        <w:gridCol w:w="109"/>
        <w:gridCol w:w="289"/>
        <w:gridCol w:w="639"/>
        <w:gridCol w:w="212"/>
      </w:tblGrid>
      <w:tr>
        <w:trPr/>
        <w:tc>
          <w:tcPr>
            <w:tcW w:w="744"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increase in Abbott’s long-term investments as of June 30, 2026, compared to December 31, 2025, primarily reflects non-marketable securities acquired in the Exact Sciences acquisition and other investment activity during the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equity securities as of June 30, 2026, include $328 million of investments in mutual funds that are held in a rabbi trust. These investments, which are specifically designated as available for the purpose of paying benefits under a deferred compensation plan, are not available for general corporate purposes and are subject to creditor claims in the event of insolvency.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holds certain investments as of June 30, 2026, including investments accounted for under the equity method with a carrying value of $161 million and other equity investments with a carrying value of $238 million that do not have a readily determinable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5 — Changes In Accumulated Other Comprehensive Income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changes in Accumulated other comprehensive income (loss), net of tax,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11"/>
        <w:gridCol w:w="1055"/>
        <w:gridCol w:w="850"/>
        <w:gridCol w:w="109"/>
        <w:gridCol w:w="109"/>
        <w:gridCol w:w="109"/>
        <w:gridCol w:w="211"/>
        <w:gridCol w:w="654"/>
        <w:gridCol w:w="109"/>
        <w:gridCol w:w="109"/>
        <w:gridCol w:w="109"/>
        <w:gridCol w:w="109"/>
        <w:gridCol w:w="211"/>
        <w:gridCol w:w="654"/>
        <w:gridCol w:w="109"/>
        <w:gridCol w:w="109"/>
        <w:gridCol w:w="109"/>
        <w:gridCol w:w="109"/>
        <w:gridCol w:w="214"/>
        <w:gridCol w:w="406"/>
        <w:gridCol w:w="110"/>
        <w:gridCol w:w="110"/>
        <w:gridCol w:w="110"/>
        <w:gridCol w:w="110"/>
        <w:gridCol w:w="214"/>
        <w:gridCol w:w="513"/>
        <w:gridCol w:w="110"/>
        <w:gridCol w:w="109"/>
        <w:gridCol w:w="109"/>
        <w:gridCol w:w="109"/>
        <w:gridCol w:w="221"/>
        <w:gridCol w:w="378"/>
        <w:gridCol w:w="114"/>
        <w:gridCol w:w="114"/>
        <w:gridCol w:w="114"/>
        <w:gridCol w:w="114"/>
        <w:gridCol w:w="221"/>
        <w:gridCol w:w="488"/>
        <w:gridCol w:w="172"/>
      </w:tblGrid>
      <w:tr>
        <w:trPr/>
        <w:tc>
          <w:tcPr>
            <w:tcW w:w="121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3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w:t>
              <w:br/>
              <w:t>Currency Translation</w:t>
              <w:br/>
              <w:t>(Loss)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Actuarial (Losses) and</w:t>
              <w:br/>
              <w:t>Prior Service (Costs) and</w:t>
              <w:br/>
              <w:t>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Gains (Losses)</w:t>
              <w:br/>
              <w:t>on Derivative Instruments</w:t>
              <w:br/>
              <w:t>Designated as Cash Flow</w:t>
              <w:br/>
              <w:t>Hedges</w:t>
            </w:r>
          </w:p>
        </w:tc>
      </w:tr>
      <w:tr>
        <w:trPr/>
        <w:tc>
          <w:tcPr>
            <w:tcW w:w="3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8"/>
        <w:gridCol w:w="1052"/>
        <w:gridCol w:w="847"/>
        <w:gridCol w:w="109"/>
        <w:gridCol w:w="109"/>
        <w:gridCol w:w="109"/>
        <w:gridCol w:w="211"/>
        <w:gridCol w:w="654"/>
        <w:gridCol w:w="109"/>
        <w:gridCol w:w="109"/>
        <w:gridCol w:w="109"/>
        <w:gridCol w:w="109"/>
        <w:gridCol w:w="211"/>
        <w:gridCol w:w="654"/>
        <w:gridCol w:w="109"/>
        <w:gridCol w:w="109"/>
        <w:gridCol w:w="109"/>
        <w:gridCol w:w="109"/>
        <w:gridCol w:w="214"/>
        <w:gridCol w:w="406"/>
        <w:gridCol w:w="110"/>
        <w:gridCol w:w="110"/>
        <w:gridCol w:w="110"/>
        <w:gridCol w:w="110"/>
        <w:gridCol w:w="214"/>
        <w:gridCol w:w="513"/>
        <w:gridCol w:w="110"/>
        <w:gridCol w:w="109"/>
        <w:gridCol w:w="109"/>
        <w:gridCol w:w="109"/>
        <w:gridCol w:w="217"/>
        <w:gridCol w:w="413"/>
        <w:gridCol w:w="112"/>
        <w:gridCol w:w="112"/>
        <w:gridCol w:w="112"/>
        <w:gridCol w:w="112"/>
        <w:gridCol w:w="217"/>
        <w:gridCol w:w="480"/>
        <w:gridCol w:w="170"/>
      </w:tblGrid>
      <w:tr>
        <w:trPr/>
        <w:tc>
          <w:tcPr>
            <w:tcW w:w="120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Foreign</w:t>
              <w:br/>
              <w:t>Currency Translation</w:t>
              <w:br/>
              <w:t>(Loss)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Actuarial (Losses) and</w:t>
              <w:br/>
              <w:t>Prior Service (Costs) and</w:t>
              <w:br/>
              <w:t>Credits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Cumulative Gains (Losses)</w:t>
              <w:br/>
              <w:t>on Derivative Instruments</w:t>
              <w:br/>
              <w:t>Designated as Cash Flow</w:t>
              <w:br/>
              <w:t>Hedges</w:t>
            </w:r>
          </w:p>
        </w:tc>
      </w:tr>
      <w:tr>
        <w:trPr/>
        <w:tc>
          <w:tcPr>
            <w:tcW w:w="31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0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from 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7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(5,955)</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Reclassified amounts for cash flow hedges are recorded as Cost of products sold. Net actuarial losses and prior service cost are included as a component of net periodic benefit costs; see Note 13 — Post-Employment Benefits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Note 6 — Business Acquisition</w:t>
      </w:r>
    </w:p>
    <w:p>
      <w:pPr>
        <w:pStyle w:val="TextBody"/>
        <w:bidi w:val="0"/>
        <w:spacing w:lineRule="auto" w:line="288" w:before="120" w:after="283"/>
        <w:jc w:val="both"/>
        <w:rPr/>
      </w:pPr>
      <w:r>
        <w:rPr>
          <w:rFonts w:ascii="Times New Roman;serif" w:hAnsi="Times New Roman;serif"/>
          <w:b w:val="false"/>
          <w:color w:val="000000"/>
          <w:sz w:val="20"/>
        </w:rPr>
        <w:t>On March 23, 2026, Abbott completed the acquisition of Exact Sciences for approximately $20.6 billion. The acquisition was funded primarily through the issuance of $20.0 billion of long-term debt in March 2026, with the remainder funded by cash on hand. Under the terms of the agreement, Abbott paid $105 per common share in cash. As part of the acquisition, Abbott assumed approximately $2.8 billion of Exact Sciences’ debt, nearly all of which was repaid as of June 30, 2026. The acquisition of Exact Sciences has established Abbott's position in the cancer diagnostics market and expands its portfolio to include products such as Cologuard</w:t>
      </w:r>
      <w:r>
        <w:rPr>
          <w:rFonts w:ascii="Times New Roman;serif" w:hAnsi="Times New Roman;serif"/>
          <w:b w:val="false"/>
          <w:color w:val="000000"/>
          <w:sz w:val="13"/>
        </w:rPr>
        <w:t>®</w:t>
      </w:r>
      <w:r>
        <w:rPr>
          <w:rFonts w:ascii="Times New Roman;serif" w:hAnsi="Times New Roman;serif"/>
          <w:b w:val="false"/>
          <w:color w:val="000000"/>
          <w:sz w:val="20"/>
        </w:rPr>
        <w:t>, Oncotype DX</w:t>
      </w:r>
      <w:r>
        <w:rPr>
          <w:rFonts w:ascii="Times New Roman;serif" w:hAnsi="Times New Roman;serif"/>
          <w:b w:val="false"/>
          <w:color w:val="000000"/>
          <w:sz w:val="13"/>
        </w:rPr>
        <w:t>®</w:t>
      </w:r>
      <w:r>
        <w:rPr>
          <w:rFonts w:ascii="Times New Roman;serif" w:hAnsi="Times New Roman;serif"/>
          <w:b w:val="false"/>
          <w:color w:val="000000"/>
          <w:sz w:val="20"/>
        </w:rPr>
        <w:t>, and Cancerguard</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6 — Business Acquisition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allocation of the fair value of the Exact Sciences acquisition is shown in the table below. Allocation of the purchase price of the acquisition will be finalized when the valuation of assets and liabilities is completed and differences between the preliminary and final allocation could be material. </w:t>
      </w:r>
    </w:p>
    <w:tbl>
      <w:tblPr>
        <w:tblW w:w="5027" w:type="dxa"/>
        <w:jc w:val="left"/>
        <w:tblInd w:w="0" w:type="dxa"/>
        <w:tblLayout w:type="fixed"/>
        <w:tblCellMar>
          <w:top w:w="28" w:type="dxa"/>
          <w:left w:w="28" w:type="dxa"/>
          <w:bottom w:w="28" w:type="dxa"/>
          <w:right w:w="28" w:type="dxa"/>
        </w:tblCellMar>
      </w:tblPr>
      <w:tblGrid>
        <w:gridCol w:w="1381"/>
        <w:gridCol w:w="1217"/>
        <w:gridCol w:w="1226"/>
        <w:gridCol w:w="109"/>
        <w:gridCol w:w="109"/>
        <w:gridCol w:w="109"/>
        <w:gridCol w:w="211"/>
        <w:gridCol w:w="51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non-deductible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non-deductible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net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recorded at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allocation of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goodwill is primarily attributable to future growth opportunities, assembled workforce, potential future technologies, and other intangible assets that do not qualify for separate recognition, as well as expected synergies from combining operations. The acquired net tangible assets consist primarily of property and equipment, trade accounts receivable, trade accounts payable, other current liabilities, and other non-current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acquisition had occurred as of the beginning of 2025, unaudited pro forma consolidated net sales would have been approximately $11.9 billion and $23.0 billion for the three and six months ended June 30, 2025, respectively. Unaudited pro forma earnings before taxes for the three months ended June 30, 2025, would have been approximately $1.6 billion, reflecting interest expense of approximately $0.2 billion and amortization expense related to acquired intangible assets of approximately $0.3 billion. Unaudited pro forma earnings before taxes for the six months ended June 30, 2025, would have been approximately $2.3 billion, reflecting transaction-related costs of approximately $0.5 billion, interest expense of approximately $0.5 billion, and amortization expense related to acquired intangible assets of approximately $0.5 billion. Unaudited pro forma consolidated net sales would have been approximately $12.6 billion and $24.5 billion for the three and six months ended June 30, 2026, respectively. Unaudited pro forma earnings before taxes would have been approximately $1.6 billion and $2.9 billion for the three and six months ended June 30, 2026, respectively, after giving effect to interest expense of approximately $0.2 billion and amortization expense related to acquired intangible assets of approximately $0.2 billion, and excluding transaction-related expenses of $0.5 billion that were directly attributable to the acquisition. The unaudited pro forma information is not necessarily indicative of the consolidated results of operations that would have been realized had the Exact Sciences acquisition been completed as of the beginning of 2025, nor is it intended to be indicative of future results of operations of the combined entity.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Abbott's condensed consolidated results include $1.0 billion of net sales related to Exact Sciences. Earnings of Exact Sciences included in Abbott's condensed consolidated financial statements since the acquisition date are not material to Abbott's consolidated net earnings.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7 — Goodwill and Intangible Assets </w:t>
      </w:r>
    </w:p>
    <w:p>
      <w:pPr>
        <w:pStyle w:val="TextBody"/>
        <w:bidi w:val="0"/>
        <w:spacing w:lineRule="auto" w:line="288" w:before="120" w:after="283"/>
        <w:jc w:val="both"/>
        <w:rPr/>
      </w:pPr>
      <w:r>
        <w:rPr>
          <w:rFonts w:ascii="Times New Roman;serif" w:hAnsi="Times New Roman;serif"/>
          <w:b w:val="false"/>
          <w:color w:val="000000"/>
          <w:sz w:val="20"/>
        </w:rPr>
        <w:t xml:space="preserve">The total amount of goodwill reported was $35.2 billion at June 30, 2026, and $24.0 billion at December 31, 2025. Goodwill increased by $11.4 billion in the first six months of 2026 due to the completion of the Exact Sciences acquisition. </w:t>
      </w:r>
      <w:r>
        <w:rPr>
          <w:rFonts w:ascii="Times New Roman;serif" w:hAnsi="Times New Roman;serif"/>
          <w:b w:val="false"/>
          <w:color w:val="000000"/>
          <w:sz w:val="20"/>
          <w:shd w:fill="FFFFFF" w:val="clear"/>
        </w:rPr>
        <w:t>F</w:t>
      </w:r>
      <w:r>
        <w:rPr>
          <w:rFonts w:ascii="Times New Roman;serif" w:hAnsi="Times New Roman;serif"/>
          <w:b w:val="false"/>
          <w:color w:val="000000"/>
          <w:sz w:val="20"/>
        </w:rPr>
        <w:t xml:space="preserve">oreign currency translation adjustments decreased goodwill by $0.2 billion in the first six months of 2026. The amount of goodwill related to reportable segments at June 30, 2026, was $2.7 billion for the Established Pharmaceutical Products segment, $0.3 billion for the Nutritional Products segment, $15.0 billion for the Diagnostic Products segment, and $17.3 billion for the Medical Devices segment. The Diagnostic Products segment includes the amount of goodwill related to the Exact Sciences acquisition. There were no reductions of goodwill relating to impairments in the first six months of 2026. </w:t>
      </w:r>
    </w:p>
    <w:p>
      <w:pPr>
        <w:pStyle w:val="TextBody"/>
        <w:bidi w:val="0"/>
        <w:spacing w:lineRule="auto" w:line="288" w:before="120" w:after="283"/>
        <w:jc w:val="both"/>
        <w:rPr/>
      </w:pPr>
      <w:r>
        <w:rPr>
          <w:rFonts w:ascii="Times New Roman;serif" w:hAnsi="Times New Roman;serif"/>
          <w:b w:val="false"/>
          <w:color w:val="000000"/>
          <w:sz w:val="20"/>
        </w:rPr>
        <w:t>The gross amount of amortizable intangible assets, primarily product rights and technol</w:t>
      </w:r>
      <w:r>
        <w:rPr>
          <w:rFonts w:ascii="Times New Roman;serif" w:hAnsi="Times New Roman;serif"/>
          <w:b w:val="false"/>
          <w:color w:val="000000"/>
          <w:sz w:val="20"/>
          <w:shd w:fill="FFFFFF" w:val="clear"/>
        </w:rPr>
        <w:t>ogy, was $39.8 billion</w:t>
      </w:r>
      <w:r>
        <w:rPr>
          <w:color w:val="000000"/>
        </w:rPr>
        <w:t xml:space="preserve"> </w:t>
      </w:r>
      <w:r>
        <w:rPr>
          <w:rFonts w:ascii="Times New Roman;serif" w:hAnsi="Times New Roman;serif"/>
          <w:b w:val="false"/>
          <w:color w:val="000000"/>
          <w:sz w:val="20"/>
        </w:rPr>
        <w:t>as of June 30, 2026, and $27.6 billion as of December 31, 2025. The gross amount of amortizable intangible assets increased by $12.3 billion in the first six months of 2026 due to the completion of the Exact Sciences acquisition. Accumulated amortization was $24.3 billion and $23.3 billion as of June 30, 2026, and December 31, 2025, respectively. Abbott’s estimated annual amortization expense for intangible assets is approximately $2.6 billion in 2026, $2.3 billion in 2027, $1.8 billion in 2028, $1.7 billion in 2029, and $1.5 billion in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7 — Goodwill and Intangible Assets (Continued)</w:t>
      </w:r>
    </w:p>
    <w:p>
      <w:pPr>
        <w:pStyle w:val="TextBody"/>
        <w:bidi w:val="0"/>
        <w:spacing w:lineRule="auto" w:line="288" w:before="120" w:after="283"/>
        <w:jc w:val="both"/>
        <w:rPr/>
      </w:pPr>
      <w:r>
        <w:rPr>
          <w:rFonts w:ascii="Times New Roman;serif" w:hAnsi="Times New Roman;serif"/>
          <w:b w:val="false"/>
          <w:color w:val="000000"/>
          <w:sz w:val="20"/>
        </w:rPr>
        <w:t>Indefinite-lived intangible assets, which relate to in-process research and development (IPR&amp;D), were $1.7 billion and $1.2 billion</w:t>
      </w:r>
      <w:r>
        <w:rPr>
          <w:color w:val="000000"/>
        </w:rPr>
        <w:t xml:space="preserve"> </w:t>
      </w:r>
      <w:r>
        <w:rPr>
          <w:rFonts w:ascii="Times New Roman;serif" w:hAnsi="Times New Roman;serif"/>
          <w:b w:val="false"/>
          <w:color w:val="000000"/>
          <w:sz w:val="20"/>
        </w:rPr>
        <w:t xml:space="preserve">as of June 30, 2026, and December 31, 2025, respectively. The increase in IPR&amp;D was due to the Exact Sciences acquisition.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8 — Restructuring Plans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2025, Abbott management approved plans to streamline operations in order to reduce costs and improve efficiencies in its diagnostics and medical devices businesses. In addition, Abbott recognized asset impairment charges of $12 million related to these restructuring plans in the first six months of 2025. The following summarizes the activity related to these restructuring actions and the status of the related accruals as of June 30, 2026:</w:t>
      </w:r>
    </w:p>
    <w:p>
      <w:pPr>
        <w:pStyle w:val="TextBody"/>
        <w:bidi w:val="0"/>
        <w:spacing w:before="0" w:after="0"/>
        <w:jc w:val="both"/>
        <w:rPr/>
      </w:pPr>
      <w:r>
        <w:rPr/>
      </w:r>
    </w:p>
    <w:tbl>
      <w:tblPr>
        <w:tblW w:w="4442" w:type="dxa"/>
        <w:jc w:val="left"/>
        <w:tblInd w:w="0" w:type="dxa"/>
        <w:tblLayout w:type="fixed"/>
        <w:tblCellMar>
          <w:top w:w="28" w:type="dxa"/>
          <w:left w:w="28" w:type="dxa"/>
          <w:bottom w:w="28" w:type="dxa"/>
          <w:right w:w="28" w:type="dxa"/>
        </w:tblCellMar>
      </w:tblPr>
      <w:tblGrid>
        <w:gridCol w:w="1190"/>
        <w:gridCol w:w="1045"/>
        <w:gridCol w:w="1049"/>
        <w:gridCol w:w="109"/>
        <w:gridCol w:w="109"/>
        <w:gridCol w:w="109"/>
        <w:gridCol w:w="211"/>
        <w:gridCol w:w="466"/>
        <w:gridCol w:w="154"/>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2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Note 9 — Incentive Stock Programs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In the first six months of 2026, Abbott granted 2,000,814 stock options, 449,237 restricted stock awards, and 4,999,652 restricted stock units under its incentive stock program. At June 30, 2026, approximately 140 million shares were reserved for future grants. </w:t>
      </w:r>
      <w:r>
        <w:rPr>
          <w:rFonts w:ascii="Times New Roman;serif" w:hAnsi="Times New Roman;serif"/>
          <w:b w:val="false"/>
          <w:color w:val="000000"/>
          <w:sz w:val="20"/>
          <w:shd w:fill="FFFFFF" w:val="clear"/>
        </w:rPr>
        <w:t>This reserve reflects the shares authorized by Abbott's shareholders in April 2026.</w:t>
      </w:r>
      <w:r>
        <w:rPr>
          <w:color w:val="000000"/>
        </w:rPr>
        <w:t xml:space="preserve"> </w:t>
      </w:r>
      <w:r>
        <w:rPr>
          <w:rFonts w:ascii="Times New Roman;serif" w:hAnsi="Times New Roman;serif"/>
          <w:b w:val="false"/>
          <w:color w:val="000000"/>
          <w:sz w:val="20"/>
        </w:rPr>
        <w:t>Information regarding the number of options outstanding and exercisable at June 30, 2026, is as follows:</w:t>
      </w:r>
    </w:p>
    <w:p>
      <w:pPr>
        <w:pStyle w:val="TextBody"/>
        <w:bidi w:val="0"/>
        <w:spacing w:before="0" w:after="0"/>
        <w:jc w:val="both"/>
        <w:rPr/>
      </w:pPr>
      <w:r>
        <w:rPr/>
      </w:r>
    </w:p>
    <w:tbl>
      <w:tblPr>
        <w:tblW w:w="6462" w:type="dxa"/>
        <w:jc w:val="left"/>
        <w:tblInd w:w="0" w:type="dxa"/>
        <w:tblLayout w:type="fixed"/>
        <w:tblCellMar>
          <w:top w:w="28" w:type="dxa"/>
          <w:left w:w="28" w:type="dxa"/>
          <w:bottom w:w="28" w:type="dxa"/>
          <w:right w:w="28" w:type="dxa"/>
        </w:tblCellMar>
      </w:tblPr>
      <w:tblGrid>
        <w:gridCol w:w="1220"/>
        <w:gridCol w:w="1075"/>
        <w:gridCol w:w="1079"/>
        <w:gridCol w:w="109"/>
        <w:gridCol w:w="109"/>
        <w:gridCol w:w="109"/>
        <w:gridCol w:w="275"/>
        <w:gridCol w:w="806"/>
        <w:gridCol w:w="118"/>
        <w:gridCol w:w="109"/>
        <w:gridCol w:w="109"/>
        <w:gridCol w:w="109"/>
        <w:gridCol w:w="275"/>
        <w:gridCol w:w="806"/>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Exercisable</w:t>
            </w:r>
          </w:p>
        </w:tc>
      </w:tr>
      <w:tr>
        <w:trPr/>
        <w:tc>
          <w:tcPr>
            <w:tcW w:w="33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Number of shares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22,967,126 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Weighted average remaining life </w:t>
            </w:r>
            <w:r>
              <w:rPr>
                <w:rFonts w:ascii="Times New Roman;serif" w:hAnsi="Times New Roman;serif"/>
                <w:b w:val="false"/>
                <w:i/>
                <w:color w:val="000000"/>
                <w:sz w:val="20"/>
              </w:rPr>
              <w:t>(years)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exercise price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Aggregate intrinsic value </w:t>
            </w:r>
            <w:r>
              <w:rPr>
                <w:rFonts w:ascii="Times New Roman;serif" w:hAnsi="Times New Roman;serif"/>
                <w:b w:val="false"/>
                <w:i/>
                <w:color w:val="000000"/>
                <w:sz w:val="20"/>
              </w:rPr>
              <w:t xml:space="preserve">(in millions)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completion of the Exact Sciences acquisition, unvested Exact Sciences restricted stock units were converted into Abbott restricted stock units, in accordance with the merger agreement. The number of restricted stock units converted was 1,476,916 at a fair value of $105.62.</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total unrecognized share-based compensation cost at June 30, 2026, amounted to $774 million, which is expected to be recognized over approximately the next three years.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10 — Debt and Lines of Credit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March 2026, Abbott issued $20.0 billion of debt to finance the acquisition of Exact Sciences, as follows: </w:t>
      </w:r>
    </w:p>
    <w:p>
      <w:pPr>
        <w:pStyle w:val="TextBody"/>
        <w:bidi w:val="0"/>
        <w:spacing w:before="0" w:after="0"/>
        <w:jc w:val="both"/>
        <w:rPr/>
      </w:pPr>
      <w:r>
        <w:rPr/>
      </w:r>
    </w:p>
    <w:tbl>
      <w:tblPr>
        <w:tblW w:w="4812" w:type="dxa"/>
        <w:jc w:val="left"/>
        <w:tblInd w:w="0" w:type="dxa"/>
        <w:tblLayout w:type="fixed"/>
        <w:tblCellMar>
          <w:top w:w="28" w:type="dxa"/>
          <w:left w:w="28" w:type="dxa"/>
          <w:bottom w:w="28" w:type="dxa"/>
          <w:right w:w="28" w:type="dxa"/>
        </w:tblCellMar>
      </w:tblPr>
      <w:tblGrid>
        <w:gridCol w:w="1114"/>
        <w:gridCol w:w="979"/>
        <w:gridCol w:w="982"/>
        <w:gridCol w:w="109"/>
        <w:gridCol w:w="109"/>
        <w:gridCol w:w="109"/>
        <w:gridCol w:w="303"/>
        <w:gridCol w:w="886"/>
        <w:gridCol w:w="22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r>
      <w:tr>
        <w:trPr/>
        <w:tc>
          <w:tcPr>
            <w:tcW w:w="307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SOFR+ 50 bp Senior notes due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3.700%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4.000% Senior notes due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4.300% Senior notes due 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4.650% Senior notes due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Senior notes due 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5.500% Senior notes due 2056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5.600% Senior notes due 2066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the acquisition, Abbott assumed approximately $2.8 billion of Exact Sciences’ debt, nearly all of which was repaid as of June 30,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Abbott repaid the $500 million outstanding principal amount of its 3.875% Notes upon maturity. On March 17, 2025, Abbott repaid the $1.0 billion outstanding principal amount of its 2.95% Notes upon maturity.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Abbott foreign subsidiaries enter into foreign currency forward exchange contracts to manage exposures to changes in foreign exchange rates, primarily for anticipated intercompany purchases by those subsidiaries whose functional currencies are not the U.S. dollar. These contracts, with gross notional amounts totaling $7.9 billion at June 30, 2026, and $7.4 billion at December 31, 2025, are designated as cash flow hedges of the variability of the cash flows due to changes in foreign exchange rates and are recorded at fair value. Accumulated gains and losses as of June 30, 2026, will be included in Cost of products sold at the time the products are sold, generally through the next twelve to eighteen months.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enters into foreign currency forward exchange contracts to manage currency exposures for foreign currency denominated third-party trade payables and receivables, and for intercompany loans and trade accounts payable where the receivable or payable is denominated in a currency other than the functional currency of the entity. For intercompany loans, the contracts require Abbott to sell or buy foreign currencies, primarily European currencies, in exchange for primarily U.S. dollars and other European currencies. For intercompany and trade payables and receivables, the currency exposures are primarily the U.S. dollar and European currencies. At June 30, 2026, and December 31, 2025, Abbott held gross notional amounts of $13.6 billion and $13.1 billion, respectively, of such foreign currency forward exchange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has designated a yen-denominated, 5-year term loan of $568 million and $589 million as of June 30, 2026, and December 31, 2025, respectively, as a hedge of the net investment in certain foreign subsidiaries. The change in the value of the debt, which is due to changes in foreign exchange rates, is recorded in Accumulated other comprehensive income (loss), net of tax.</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Abbott is a party to interest rate hedge contracts to manage its exposure to changes in the fair value of fixed-rate debt. These contracts are designated as fair value hedges of the variability of the fair value of fixed-rate debt due to changes in the long-term benchmark interest rates. The effect of the hedge is to change a fixed-rate interest obligation to a variable rate for that portion of the debt. Abbott records the contracts at fair value and adjusts the carrying amount of the fixed-rate debt by an offsetting amount. At June 30, 2026, and December 31, 2025, Abbott had interest rate hedge contracts with a notional amount totaling $4.2 billion and $1.2 billion, respectively. The increase from December 31, 2025, was due to additional interest rate hedge contracts associated with fixed-rate debt issued as part of the Exact Sciences acquisition.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and location of certain derivative and non-derivative financial instruments as of 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2"/>
        <w:gridCol w:w="503"/>
        <w:gridCol w:w="432"/>
        <w:gridCol w:w="109"/>
        <w:gridCol w:w="109"/>
        <w:gridCol w:w="109"/>
        <w:gridCol w:w="213"/>
        <w:gridCol w:w="457"/>
        <w:gridCol w:w="118"/>
        <w:gridCol w:w="109"/>
        <w:gridCol w:w="109"/>
        <w:gridCol w:w="109"/>
        <w:gridCol w:w="250"/>
        <w:gridCol w:w="540"/>
        <w:gridCol w:w="142"/>
        <w:gridCol w:w="109"/>
        <w:gridCol w:w="109"/>
        <w:gridCol w:w="109"/>
        <w:gridCol w:w="508"/>
        <w:gridCol w:w="345"/>
        <w:gridCol w:w="346"/>
        <w:gridCol w:w="109"/>
        <w:gridCol w:w="109"/>
        <w:gridCol w:w="109"/>
        <w:gridCol w:w="213"/>
        <w:gridCol w:w="457"/>
        <w:gridCol w:w="118"/>
        <w:gridCol w:w="109"/>
        <w:gridCol w:w="109"/>
        <w:gridCol w:w="109"/>
        <w:gridCol w:w="250"/>
        <w:gridCol w:w="540"/>
        <w:gridCol w:w="142"/>
        <w:gridCol w:w="109"/>
        <w:gridCol w:w="109"/>
        <w:gridCol w:w="109"/>
        <w:gridCol w:w="715"/>
        <w:gridCol w:w="668"/>
        <w:gridCol w:w="604"/>
      </w:tblGrid>
      <w:tr>
        <w:trPr/>
        <w:tc>
          <w:tcPr>
            <w:tcW w:w="68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 Liabilities</w:t>
            </w:r>
          </w:p>
        </w:tc>
      </w:tr>
      <w:tr>
        <w:trPr/>
        <w:tc>
          <w:tcPr>
            <w:tcW w:w="16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Sheet Caption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Balance Sheet Caption</w:t>
            </w:r>
          </w:p>
        </w:tc>
      </w:tr>
      <w:tr>
        <w:trPr/>
        <w:tc>
          <w:tcPr>
            <w:tcW w:w="16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Post-employment obligations, deferred income taxes, and other long-term liabilities</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Hedging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Others not designated as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Other accrued liabilities</w:t>
            </w:r>
          </w:p>
        </w:tc>
      </w:tr>
      <w:tr>
        <w:trPr/>
        <w:tc>
          <w:tcPr>
            <w:tcW w:w="16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designated as a hedge of net investment in a foreign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r>
      <w:tr>
        <w:trPr/>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foreign currency forward exchange contracts designated as cash flow hedges and certain other derivative financial instruments, as well as the amounts and location of income (expense) and gain (loss) reclassified into income:</w:t>
      </w:r>
    </w:p>
    <w:p>
      <w:pPr>
        <w:pStyle w:val="TextBody"/>
        <w:bidi w:val="0"/>
        <w:spacing w:before="0" w:after="0"/>
        <w:jc w:val="both"/>
        <w:rPr/>
      </w:pPr>
      <w:r>
        <w:rPr/>
      </w:r>
    </w:p>
    <w:tbl>
      <w:tblPr>
        <w:tblW w:w="10613" w:type="dxa"/>
        <w:jc w:val="left"/>
        <w:tblInd w:w="0" w:type="dxa"/>
        <w:tblLayout w:type="fixed"/>
        <w:tblCellMar>
          <w:top w:w="28" w:type="dxa"/>
          <w:left w:w="28" w:type="dxa"/>
          <w:bottom w:w="28" w:type="dxa"/>
          <w:right w:w="28" w:type="dxa"/>
        </w:tblCellMar>
      </w:tblPr>
      <w:tblGrid>
        <w:gridCol w:w="379"/>
        <w:gridCol w:w="319"/>
        <w:gridCol w:w="323"/>
        <w:gridCol w:w="109"/>
        <w:gridCol w:w="109"/>
        <w:gridCol w:w="109"/>
        <w:gridCol w:w="211"/>
        <w:gridCol w:w="376"/>
        <w:gridCol w:w="109"/>
        <w:gridCol w:w="109"/>
        <w:gridCol w:w="109"/>
        <w:gridCol w:w="109"/>
        <w:gridCol w:w="211"/>
        <w:gridCol w:w="481"/>
        <w:gridCol w:w="109"/>
        <w:gridCol w:w="109"/>
        <w:gridCol w:w="109"/>
        <w:gridCol w:w="109"/>
        <w:gridCol w:w="211"/>
        <w:gridCol w:w="361"/>
        <w:gridCol w:w="109"/>
        <w:gridCol w:w="109"/>
        <w:gridCol w:w="109"/>
        <w:gridCol w:w="109"/>
        <w:gridCol w:w="211"/>
        <w:gridCol w:w="481"/>
        <w:gridCol w:w="109"/>
        <w:gridCol w:w="109"/>
        <w:gridCol w:w="109"/>
        <w:gridCol w:w="109"/>
        <w:gridCol w:w="211"/>
        <w:gridCol w:w="376"/>
        <w:gridCol w:w="109"/>
        <w:gridCol w:w="109"/>
        <w:gridCol w:w="109"/>
        <w:gridCol w:w="109"/>
        <w:gridCol w:w="211"/>
        <w:gridCol w:w="361"/>
        <w:gridCol w:w="109"/>
        <w:gridCol w:w="109"/>
        <w:gridCol w:w="109"/>
        <w:gridCol w:w="109"/>
        <w:gridCol w:w="211"/>
        <w:gridCol w:w="481"/>
        <w:gridCol w:w="109"/>
        <w:gridCol w:w="109"/>
        <w:gridCol w:w="109"/>
        <w:gridCol w:w="109"/>
        <w:gridCol w:w="211"/>
        <w:gridCol w:w="361"/>
        <w:gridCol w:w="109"/>
        <w:gridCol w:w="109"/>
        <w:gridCol w:w="109"/>
        <w:gridCol w:w="109"/>
        <w:gridCol w:w="311"/>
        <w:gridCol w:w="206"/>
        <w:gridCol w:w="294"/>
      </w:tblGrid>
      <w:tr>
        <w:trPr/>
        <w:tc>
          <w:tcPr>
            <w:tcW w:w="37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Gain (loss) Recognized in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Income (expense) and Gain (loss) Reclassified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Income Statement Caption</w:t>
            </w:r>
          </w:p>
        </w:tc>
      </w:tr>
      <w:tr>
        <w:trPr/>
        <w:tc>
          <w:tcPr>
            <w:tcW w:w="10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 designated as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designated as a hedge of net investment in a foreign 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 designated as fair value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Gains of $15 million and $1 million were recognized in the three months ended June 30, 2026, and 2025, respectively, related to foreign currency forward exchange contracts not designated as a hedge. Gains of $60 million and $35 million were recognized in the six months ended June 30, 2026, and 2025, respectively, related to foreign currency forward exchange contracts not designated as a hedge. These amounts are reported in the Condensed Consolidated Statement of Earnings on the Net foreign exchange (gain) loss 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values and fair values of certain financial instruments as of June 30, 2026, and December 31, 2025, are shown in the following table. The carrying values of all other financial instruments approximate their estimated fair values. The counterparties to financial instruments consist of select major international financial institutions. Abbott does not expect any losses from non-performance by these counterparties.</w:t>
      </w:r>
    </w:p>
    <w:p>
      <w:pPr>
        <w:pStyle w:val="TextBody"/>
        <w:bidi w:val="0"/>
        <w:spacing w:before="0" w:after="0"/>
        <w:jc w:val="both"/>
        <w:rPr/>
      </w:pPr>
      <w:r>
        <w:rPr/>
      </w:r>
    </w:p>
    <w:tbl>
      <w:tblPr>
        <w:tblW w:w="9669" w:type="dxa"/>
        <w:jc w:val="left"/>
        <w:tblInd w:w="0" w:type="dxa"/>
        <w:tblLayout w:type="fixed"/>
        <w:tblCellMar>
          <w:top w:w="28" w:type="dxa"/>
          <w:left w:w="28" w:type="dxa"/>
          <w:bottom w:w="28" w:type="dxa"/>
          <w:right w:w="28" w:type="dxa"/>
        </w:tblCellMar>
      </w:tblPr>
      <w:tblGrid>
        <w:gridCol w:w="1446"/>
        <w:gridCol w:w="1266"/>
        <w:gridCol w:w="1277"/>
        <w:gridCol w:w="109"/>
        <w:gridCol w:w="109"/>
        <w:gridCol w:w="109"/>
        <w:gridCol w:w="334"/>
        <w:gridCol w:w="738"/>
        <w:gridCol w:w="172"/>
        <w:gridCol w:w="109"/>
        <w:gridCol w:w="109"/>
        <w:gridCol w:w="109"/>
        <w:gridCol w:w="247"/>
        <w:gridCol w:w="548"/>
        <w:gridCol w:w="122"/>
        <w:gridCol w:w="109"/>
        <w:gridCol w:w="109"/>
        <w:gridCol w:w="109"/>
        <w:gridCol w:w="334"/>
        <w:gridCol w:w="738"/>
        <w:gridCol w:w="172"/>
        <w:gridCol w:w="109"/>
        <w:gridCol w:w="109"/>
        <w:gridCol w:w="109"/>
        <w:gridCol w:w="247"/>
        <w:gridCol w:w="548"/>
        <w:gridCol w:w="172"/>
      </w:tblGrid>
      <w:tr>
        <w:trPr/>
        <w:tc>
          <w:tcPr>
            <w:tcW w:w="1446"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(31,753)</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Hedge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 position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 position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debt was determined based on significant other observable inputs, including current interest rates.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11 — Financial Instruments, Derivatives and Fair Value Measures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bases used to measure certain assets and liabilities at fair value on a recurring basis in the balance sheet: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5"/>
        <w:gridCol w:w="733"/>
        <w:gridCol w:w="741"/>
        <w:gridCol w:w="109"/>
        <w:gridCol w:w="109"/>
        <w:gridCol w:w="109"/>
        <w:gridCol w:w="294"/>
        <w:gridCol w:w="863"/>
        <w:gridCol w:w="153"/>
        <w:gridCol w:w="109"/>
        <w:gridCol w:w="109"/>
        <w:gridCol w:w="109"/>
        <w:gridCol w:w="414"/>
        <w:gridCol w:w="916"/>
        <w:gridCol w:w="214"/>
        <w:gridCol w:w="109"/>
        <w:gridCol w:w="109"/>
        <w:gridCol w:w="109"/>
        <w:gridCol w:w="394"/>
        <w:gridCol w:w="1151"/>
        <w:gridCol w:w="203"/>
        <w:gridCol w:w="109"/>
        <w:gridCol w:w="109"/>
        <w:gridCol w:w="109"/>
        <w:gridCol w:w="440"/>
        <w:gridCol w:w="974"/>
        <w:gridCol w:w="332"/>
      </w:tblGrid>
      <w:tr>
        <w:trPr/>
        <w:tc>
          <w:tcPr>
            <w:tcW w:w="1075"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Basis of Fair Value Measurement</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Outstanding Balances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Quoted Prices in Active Markets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Significant Other 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Significant Unobservable Inputs</w:t>
            </w:r>
          </w:p>
        </w:tc>
      </w:tr>
      <w:tr>
        <w:trPr/>
        <w:tc>
          <w:tcPr>
            <w:tcW w:w="25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hedged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4,614 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4,351 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hedged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1,449 </w:t>
            </w:r>
          </w:p>
        </w:tc>
        <w:tc>
          <w:tcPr>
            <w:tcW w:w="2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fair value of foreign currency forward exchange contracts is determined using a market approach, which utilizes values for comparable derivative instruments. The fair value of debt was determined based on the face value of the debt adjusted for the fair value of the interest rate swaps, which is based on a discounted cash flow analysis using significant other observable inputs. The fair value of contingent consideration is determined using valuation techniques that incorporate significant unobservable inputs and management estimates regarding the probability and timing of future payments. The increase in the amount of contingent consideration from December 31, 2025, reflects contingent consideration assumed with the acquisition of Exact Sciences.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12 — Litigation and Environmental Matters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 has been identified as a potentially responsible party for investigation and cleanup costs at a number of locations in the United States and Puerto Rico under federal and state remediation laws and is investigating potential contamination at a number of company-owned locations. Abbott has recorded an estimated cleanup cost for each site for which management believes Abbott has a probable loss exposure. No individual site cleanup exposure is expected to exceed $4 million, and the aggregate cleanup exposure is not expected to exceed $10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12 — Litigation and Environmental Matters (Continued)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Abbott has been named as a defendant in a number of lawsuits alleging that its preterm infant formula and human milk fortifier products that contain cow’s milk ingredients cause an intestinal disease known as necrotizing enterocolitis (NEC) and inadequately warn about the risk of NEC. These lawsuits claim that certain preterm infants suffered injury or death as a result of contracting NEC. Several of these matters have progressed to a decision, with varying outcomes. In the first three federal Multidistrict Litigation (MDL) “bellwether” cases before the U.S. District Court for the Northern District of Illinois, Abbott prevailed on summary judgment. Outcomes in the state court cases have varied, ranging from a summary judgment ruling in Abbott’s favor to a plaintiff verdict awarding $495 million in damages. Several of these cases are at various stages of appeal. Abbott stands by its products and the information it provided about them. Given the uncertainty as to the possible outcome in each of these matters, Abbott is unable to reasonably estimate a range of possible loss related to these matters and, therefore, no reserves have been recorded.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is involved in various claims and legal proceedings, including being a defendant in a civil qui tam lawsuit related, in part, to Abbott’s manufacturing of powdered infant formula products at its facility in Sturgis, Michigan. In that matter, the U.S. Department of Justice and several states have partially intervened, alleging violations of certain federal and state laws, including the Federal False Claims Act. Abbott estimates the range of possible loss for all of its various legal proceedings and environmental exposures to be from approximately $120 million to $530 million. The recorded accrual balance at June 30, 2026, for these proceedings and exposures was approximately $510 million. This accrual represents management’s best estimate of probable loss, as defined by FASB ASC No. 450, “Contingencies.” Within the next year, legal proceedings may occur that could result in a change in the estimated loss accrued by Abbott. While it is not feasible to predict the outcome of all such proceedings and exposures with certainty, management believes that their ultimate disposition should not have a material adverse effect on Abbott’s financial position, cash flows, or results of operations, except for the matters discussed in the second paragraph of this note, the resolution of which could be material to Abbott’s financial position, cash flows, or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13 — Post-Employment Benefits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Retirement plans consist of defined benefit, defined contribution, and medical and dental plans. Net periodic benefit costs, other than service costs, are recognized in the Other (income) expense, net line of the Condensed Consolidated Statement of Earnings. Net costs recognized for Abbott’s major defined benefit plans and post-employment medical and dental benefit plans are as follows:</w:t>
      </w:r>
    </w:p>
    <w:tbl>
      <w:tblPr>
        <w:tblW w:w="10205" w:type="dxa"/>
        <w:jc w:val="left"/>
        <w:tblInd w:w="0" w:type="dxa"/>
        <w:tblLayout w:type="fixed"/>
        <w:tblCellMar>
          <w:top w:w="28" w:type="dxa"/>
          <w:left w:w="28" w:type="dxa"/>
          <w:bottom w:w="28" w:type="dxa"/>
          <w:right w:w="28" w:type="dxa"/>
        </w:tblCellMar>
      </w:tblPr>
      <w:tblGrid>
        <w:gridCol w:w="755"/>
        <w:gridCol w:w="464"/>
        <w:gridCol w:w="466"/>
        <w:gridCol w:w="109"/>
        <w:gridCol w:w="109"/>
        <w:gridCol w:w="109"/>
        <w:gridCol w:w="205"/>
        <w:gridCol w:w="477"/>
        <w:gridCol w:w="114"/>
        <w:gridCol w:w="114"/>
        <w:gridCol w:w="114"/>
        <w:gridCol w:w="114"/>
        <w:gridCol w:w="205"/>
        <w:gridCol w:w="477"/>
        <w:gridCol w:w="114"/>
        <w:gridCol w:w="109"/>
        <w:gridCol w:w="109"/>
        <w:gridCol w:w="109"/>
        <w:gridCol w:w="196"/>
        <w:gridCol w:w="452"/>
        <w:gridCol w:w="109"/>
        <w:gridCol w:w="109"/>
        <w:gridCol w:w="109"/>
        <w:gridCol w:w="109"/>
        <w:gridCol w:w="196"/>
        <w:gridCol w:w="452"/>
        <w:gridCol w:w="109"/>
        <w:gridCol w:w="109"/>
        <w:gridCol w:w="109"/>
        <w:gridCol w:w="109"/>
        <w:gridCol w:w="218"/>
        <w:gridCol w:w="370"/>
        <w:gridCol w:w="121"/>
        <w:gridCol w:w="121"/>
        <w:gridCol w:w="121"/>
        <w:gridCol w:w="121"/>
        <w:gridCol w:w="218"/>
        <w:gridCol w:w="370"/>
        <w:gridCol w:w="121"/>
        <w:gridCol w:w="109"/>
        <w:gridCol w:w="109"/>
        <w:gridCol w:w="109"/>
        <w:gridCol w:w="196"/>
        <w:gridCol w:w="331"/>
        <w:gridCol w:w="109"/>
        <w:gridCol w:w="109"/>
        <w:gridCol w:w="109"/>
        <w:gridCol w:w="109"/>
        <w:gridCol w:w="196"/>
        <w:gridCol w:w="331"/>
        <w:gridCol w:w="166"/>
      </w:tblGrid>
      <w:tr>
        <w:trPr/>
        <w:tc>
          <w:tcPr>
            <w:tcW w:w="755"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Medical and Dental Plans</w:t>
            </w:r>
          </w:p>
        </w:tc>
      </w:tr>
      <w:tr>
        <w:trP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6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 cost - benefits earned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cost on projected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Actuarial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Prior service cost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cost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Abbott funds its domestic defined benefit plans according to U.S. Internal Revenue Service (IRS) funding limitations. International pension plans are funded according to similar regulations.</w:t>
      </w:r>
      <w:r>
        <w:rPr>
          <w:color w:val="EE2724"/>
        </w:rPr>
        <w:t xml:space="preserve"> </w:t>
      </w:r>
      <w:r>
        <w:rPr>
          <w:rFonts w:ascii="Times New Roman;serif" w:hAnsi="Times New Roman;serif"/>
          <w:b w:val="false"/>
          <w:color w:val="000000"/>
          <w:sz w:val="20"/>
        </w:rPr>
        <w:t>In the first six months of 2025,</w:t>
      </w:r>
      <w:r>
        <w:rPr>
          <w:color w:val="EE2724"/>
        </w:rPr>
        <w:t xml:space="preserve"> </w:t>
      </w:r>
      <w:r>
        <w:rPr>
          <w:rFonts w:ascii="Times New Roman;serif" w:hAnsi="Times New Roman;serif"/>
          <w:b w:val="false"/>
          <w:color w:val="000000"/>
          <w:sz w:val="20"/>
        </w:rPr>
        <w:t>$246 million was contributed to defined benefit plans. In the first six months of 2026 and 2025, $110 million and $75 million were contributed, respectively, to the post-employment medical and dental plans.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Note 14 — Taxes on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on earnings reflect the estimated annual effective rates and include charges for interest and penalties. In the first six months of 2026 and 2025, taxes on earnings included $18 million and $84 million, respectively, in excess tax benefits associated with share-based compensation. In the first six months of 2026 and 2025, taxes on earnings included approximately $440 million and $300 million, respectively, of tax expense related to a deferred tax asset that was recognized as a significant non-cash tax benefit in a prior year. In the first six months of 2026 and 2025, taxes on earnings also included approximately $60 million of net tax expense and $90 million of net tax benefit, respectively, primarily as the result of the resolution of various tax positions related to prior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and the IRS are in active discussions regarding several of the disputed items contained in the 2017 – 2020 SNODs.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 15 — Segment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principal business is the discovery, development, manufacture, and sale of a broad portfolio of healthcare products. Abbott’s products are generally sold directly to retailers, wholesalers, consumers, hospitals, healthcare facilities, laboratories, health systems, and government agencies throughout the world. On March 23, 2026, Abbott completed its acquisition of Exact Sciences. From the acquisition date, Abbott's results include Exact Sciences' results, which are reported within the Diagnostic Products segment as Cancer Diagnostics.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reportable segments are as follows:</w:t>
      </w:r>
    </w:p>
    <w:p>
      <w:pPr>
        <w:pStyle w:val="TextBody"/>
        <w:bidi w:val="0"/>
        <w:spacing w:lineRule="auto" w:line="288" w:before="120" w:after="283"/>
        <w:jc w:val="both"/>
        <w:rPr/>
      </w:pPr>
      <w:r>
        <w:rPr>
          <w:rFonts w:ascii="Times New Roman;serif" w:hAnsi="Times New Roman;serif"/>
          <w:b w:val="false"/>
          <w:i/>
          <w:color w:val="000000"/>
          <w:sz w:val="20"/>
        </w:rPr>
        <w:t xml:space="preserve">Established Pharmaceutical Products </w:t>
      </w:r>
      <w:r>
        <w:rPr>
          <w:color w:val="000000"/>
        </w:rPr>
        <w:t xml:space="preserve">— </w:t>
      </w:r>
      <w:r>
        <w:rPr>
          <w:rFonts w:ascii="Times New Roman;serif" w:hAnsi="Times New Roman;serif"/>
          <w:b w:val="false"/>
          <w:color w:val="000000"/>
          <w:sz w:val="20"/>
        </w:rPr>
        <w:t>International sales of a broad line of branded generic pharmaceutical and biologic products.</w:t>
      </w:r>
    </w:p>
    <w:p>
      <w:pPr>
        <w:pStyle w:val="TextBody"/>
        <w:bidi w:val="0"/>
        <w:spacing w:lineRule="auto" w:line="288" w:before="120" w:after="283"/>
        <w:jc w:val="both"/>
        <w:rPr/>
      </w:pPr>
      <w:r>
        <w:rPr>
          <w:rFonts w:ascii="Times New Roman;serif" w:hAnsi="Times New Roman;serif"/>
          <w:b w:val="false"/>
          <w:i/>
          <w:color w:val="000000"/>
          <w:sz w:val="20"/>
        </w:rPr>
        <w:t xml:space="preserve">Nutritional Products </w:t>
      </w:r>
      <w:r>
        <w:rPr>
          <w:color w:val="000000"/>
        </w:rPr>
        <w:t xml:space="preserve">— </w:t>
      </w:r>
      <w:r>
        <w:rPr>
          <w:rFonts w:ascii="Times New Roman;serif" w:hAnsi="Times New Roman;serif"/>
          <w:b w:val="false"/>
          <w:color w:val="000000"/>
          <w:sz w:val="20"/>
        </w:rPr>
        <w:t>Worldwide sales of a broad line of adult and pediatric nutritional products.</w:t>
      </w:r>
    </w:p>
    <w:p>
      <w:pPr>
        <w:pStyle w:val="TextBody"/>
        <w:bidi w:val="0"/>
        <w:spacing w:lineRule="auto" w:line="288" w:before="120" w:after="283"/>
        <w:jc w:val="both"/>
        <w:rPr/>
      </w:pPr>
      <w:r>
        <w:rPr>
          <w:rFonts w:ascii="Times New Roman;serif" w:hAnsi="Times New Roman;serif"/>
          <w:b w:val="false"/>
          <w:i/>
          <w:color w:val="000000"/>
          <w:sz w:val="20"/>
        </w:rPr>
        <w:t xml:space="preserve">Diagnostic Products </w:t>
      </w:r>
      <w:r>
        <w:rPr>
          <w:color w:val="000000"/>
        </w:rPr>
        <w:t xml:space="preserve">— </w:t>
      </w:r>
      <w:r>
        <w:rPr>
          <w:rFonts w:ascii="Times New Roman;serif" w:hAnsi="Times New Roman;serif"/>
          <w:b w:val="false"/>
          <w:color w:val="000000"/>
          <w:sz w:val="20"/>
        </w:rPr>
        <w:t>Worldwide sales of diagnostic systems, tests, and automated solutions. For segment reporting purposes, the Core Laboratory Diagnostics, Rapid and Molecular Diagnostics, and Cancer Diagnostics businesses are aggregated and reported as the Diagnostic Products segment.</w:t>
      </w:r>
    </w:p>
    <w:p>
      <w:pPr>
        <w:pStyle w:val="TextBody"/>
        <w:bidi w:val="0"/>
        <w:spacing w:lineRule="auto" w:line="288" w:before="120" w:after="283"/>
        <w:jc w:val="both"/>
        <w:rPr/>
      </w:pPr>
      <w:r>
        <w:rPr>
          <w:rFonts w:ascii="Times New Roman;serif" w:hAnsi="Times New Roman;serif"/>
          <w:b w:val="false"/>
          <w:i/>
          <w:color w:val="000000"/>
          <w:sz w:val="20"/>
        </w:rPr>
        <w:t>Medical Devices</w:t>
      </w:r>
      <w:r>
        <w:rPr>
          <w:color w:val="000000"/>
        </w:rPr>
        <w:t xml:space="preserve"> — </w:t>
      </w:r>
      <w:r>
        <w:rPr>
          <w:rFonts w:ascii="Times New Roman;serif" w:hAnsi="Times New Roman;serif"/>
          <w:b w:val="false"/>
          <w:color w:val="000000"/>
          <w:sz w:val="20"/>
        </w:rPr>
        <w:t>Worldwide sales of rhythm management, electrophysiology, heart failure, vascular, structural heart, neuromodulation, and diabetes care products. For segment reporting purposes, the Rhythm Management, Electrophysiology, Heart Failure, Vascular, Structural Heart, Neuromodulation, and Diabetes Care businesses are aggregated and reported as the Medical Devices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Abbott’s underlying accounting records are maintained on a legal entity basis for government and public reporting requirements. Segment disclosures are on a performance basis consistent with internal management reporting. The chief operating decision maker (CODM) at Abbott is the Chief Executive Officer. The CODM primarily considers sales and operating margin to assess the performance of segments and to allocate resources, where segment operating margin profitability includes cost of products sold and operating expenses. The cost of some corporate functions and the cost of certain employee benefits are charged to segments at predetermined rates that approximate cost. Remaining costs, if any, are not allocated to segments. In addition, intangible asset amortization is not allocated to operating segments, and intangible assets and goodwill are not included in the measure of each segment’s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segment information has been prepared in accordance with the internal accounting policies of Abbott, as described above, and is not presented in accordance with generally accepted accounting principles applied to the condensed consolidated financial statements. </w:t>
      </w:r>
    </w:p>
    <w:tbl>
      <w:tblPr>
        <w:tblW w:w="11956"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181"/>
        <w:gridCol w:w="541"/>
        <w:gridCol w:w="109"/>
        <w:gridCol w:w="109"/>
        <w:gridCol w:w="109"/>
        <w:gridCol w:w="109"/>
        <w:gridCol w:w="181"/>
        <w:gridCol w:w="541"/>
        <w:gridCol w:w="109"/>
        <w:gridCol w:w="109"/>
        <w:gridCol w:w="109"/>
        <w:gridCol w:w="109"/>
        <w:gridCol w:w="181"/>
        <w:gridCol w:w="481"/>
        <w:gridCol w:w="109"/>
        <w:gridCol w:w="109"/>
        <w:gridCol w:w="109"/>
        <w:gridCol w:w="109"/>
        <w:gridCol w:w="181"/>
        <w:gridCol w:w="481"/>
        <w:gridCol w:w="109"/>
        <w:gridCol w:w="109"/>
        <w:gridCol w:w="109"/>
        <w:gridCol w:w="109"/>
        <w:gridCol w:w="181"/>
        <w:gridCol w:w="376"/>
        <w:gridCol w:w="109"/>
        <w:gridCol w:w="109"/>
        <w:gridCol w:w="109"/>
        <w:gridCol w:w="109"/>
        <w:gridCol w:w="181"/>
        <w:gridCol w:w="376"/>
        <w:gridCol w:w="109"/>
        <w:gridCol w:w="109"/>
        <w:gridCol w:w="109"/>
        <w:gridCol w:w="109"/>
        <w:gridCol w:w="181"/>
        <w:gridCol w:w="481"/>
        <w:gridCol w:w="109"/>
        <w:gridCol w:w="109"/>
        <w:gridCol w:w="109"/>
        <w:gridCol w:w="109"/>
        <w:gridCol w:w="181"/>
        <w:gridCol w:w="481"/>
        <w:gridCol w:w="109"/>
        <w:gridCol w:w="109"/>
        <w:gridCol w:w="109"/>
        <w:gridCol w:w="109"/>
        <w:gridCol w:w="181"/>
        <w:gridCol w:w="466"/>
        <w:gridCol w:w="109"/>
        <w:gridCol w:w="109"/>
        <w:gridCol w:w="109"/>
        <w:gridCol w:w="109"/>
        <w:gridCol w:w="181"/>
        <w:gridCol w:w="46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Net Sales to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Cost of Products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Operating Earnings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Three Months Ended June 30,</w:t>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(4,768)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3,218 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functions and plan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15 — Segment Information (Continued)</w:t>
      </w:r>
    </w:p>
    <w:tbl>
      <w:tblPr>
        <w:tblW w:w="12241" w:type="dxa"/>
        <w:jc w:val="left"/>
        <w:tblInd w:w="0" w:type="dxa"/>
        <w:tblLayout w:type="fixed"/>
        <w:tblCellMar>
          <w:top w:w="28" w:type="dxa"/>
          <w:left w:w="28" w:type="dxa"/>
          <w:bottom w:w="28" w:type="dxa"/>
          <w:right w:w="28" w:type="dxa"/>
        </w:tblCellMar>
      </w:tblPr>
      <w:tblGrid>
        <w:gridCol w:w="379"/>
        <w:gridCol w:w="334"/>
        <w:gridCol w:w="338"/>
        <w:gridCol w:w="109"/>
        <w:gridCol w:w="109"/>
        <w:gridCol w:w="109"/>
        <w:gridCol w:w="181"/>
        <w:gridCol w:w="541"/>
        <w:gridCol w:w="109"/>
        <w:gridCol w:w="109"/>
        <w:gridCol w:w="109"/>
        <w:gridCol w:w="109"/>
        <w:gridCol w:w="181"/>
        <w:gridCol w:w="541"/>
        <w:gridCol w:w="109"/>
        <w:gridCol w:w="109"/>
        <w:gridCol w:w="109"/>
        <w:gridCol w:w="109"/>
        <w:gridCol w:w="181"/>
        <w:gridCol w:w="556"/>
        <w:gridCol w:w="109"/>
        <w:gridCol w:w="109"/>
        <w:gridCol w:w="109"/>
        <w:gridCol w:w="109"/>
        <w:gridCol w:w="181"/>
        <w:gridCol w:w="481"/>
        <w:gridCol w:w="109"/>
        <w:gridCol w:w="109"/>
        <w:gridCol w:w="109"/>
        <w:gridCol w:w="109"/>
        <w:gridCol w:w="181"/>
        <w:gridCol w:w="481"/>
        <w:gridCol w:w="109"/>
        <w:gridCol w:w="109"/>
        <w:gridCol w:w="109"/>
        <w:gridCol w:w="109"/>
        <w:gridCol w:w="181"/>
        <w:gridCol w:w="481"/>
        <w:gridCol w:w="109"/>
        <w:gridCol w:w="109"/>
        <w:gridCol w:w="109"/>
        <w:gridCol w:w="109"/>
        <w:gridCol w:w="181"/>
        <w:gridCol w:w="481"/>
        <w:gridCol w:w="109"/>
        <w:gridCol w:w="109"/>
        <w:gridCol w:w="109"/>
        <w:gridCol w:w="109"/>
        <w:gridCol w:w="181"/>
        <w:gridCol w:w="481"/>
        <w:gridCol w:w="109"/>
        <w:gridCol w:w="109"/>
        <w:gridCol w:w="109"/>
        <w:gridCol w:w="109"/>
        <w:gridCol w:w="181"/>
        <w:gridCol w:w="466"/>
        <w:gridCol w:w="109"/>
        <w:gridCol w:w="109"/>
        <w:gridCol w:w="109"/>
        <w:gridCol w:w="109"/>
        <w:gridCol w:w="181"/>
        <w:gridCol w:w="466"/>
        <w:gridCol w:w="154"/>
      </w:tblGrid>
      <w:tr>
        <w:trPr/>
        <w:tc>
          <w:tcPr>
            <w:tcW w:w="37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Net Sales to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Cost of Products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Operating Earnings</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Six Months Ended June 30,</w:t>
            </w:r>
          </w:p>
        </w:tc>
      </w:tr>
      <w:tr>
        <w:trPr/>
        <w:tc>
          <w:tcPr>
            <w:tcW w:w="10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2"/>
              </w:rPr>
            </w:pPr>
            <w:r>
              <w:rPr>
                <w:rFonts w:ascii="Times New Roman;serif" w:hAnsi="Times New Roman;serif"/>
                <w:b w:val="false"/>
                <w:color w:val="000000"/>
                <w:sz w:val="12"/>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2"/>
              </w:rPr>
            </w:pPr>
            <w:r>
              <w:rPr>
                <w:rFonts w:ascii="Times New Roman;serif" w:hAnsi="Times New Roman;serif"/>
                <w:b/>
                <w:color w:val="000000"/>
                <w:sz w:val="12"/>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44"/>
              <w:jc w:val="center"/>
              <w:rPr>
                <w:rFonts w:ascii="Times New Roman;serif" w:hAnsi="Times New Roman;serif"/>
                <w:b/>
                <w:color w:val="000000"/>
                <w:sz w:val="12"/>
              </w:rPr>
            </w:pPr>
            <w:r>
              <w:rPr>
                <w:rFonts w:ascii="Times New Roman;serif" w:hAnsi="Times New Roman;serif"/>
                <w:b/>
                <w:color w:val="000000"/>
                <w:sz w:val="12"/>
              </w:rPr>
              <w:t>2025</w:t>
            </w:r>
          </w:p>
        </w:tc>
      </w:tr>
      <w:tr>
        <w:trPr/>
        <w:tc>
          <w:tcPr>
            <w:tcW w:w="10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644 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3,405 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21,492 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(10,044)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(9,211)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(6,050)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(5,362)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6,122 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5,592 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23,757 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21,500 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Corporate functions and plan benefit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(840)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Other, net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Earnings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3,928 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Approximately 45 percent of the annual net cost of share-based awards will typically be recognized in the first quarter due to the timing of the granting of share-based awards. The first six months of 2026 included $321 million of stock compensation expense related to the cash settlement of equity awards in connection with the Exact Sciences acquisition, per the terms of the merger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Other, net for the three and six months ended June 30, 2026, includes costs related to the acquisition of Exact Sciences, legal reserves, and restructuring charges. Other, net for the three and six months ended June 30, 2025, includes charges related to restructurings, fair value adjustments to contingent consideration and integration costs related to business combinations. Other, net for the six months ended June 30, 2025, also includes impairment charges related to various investments. </w:t>
            </w:r>
          </w:p>
        </w:tc>
      </w:tr>
    </w:tbl>
    <w:tbl>
      <w:tblPr>
        <w:tblW w:w="6633" w:type="dxa"/>
        <w:jc w:val="left"/>
        <w:tblInd w:w="0" w:type="dxa"/>
        <w:tblLayout w:type="fixed"/>
        <w:tblCellMar>
          <w:top w:w="28" w:type="dxa"/>
          <w:left w:w="28" w:type="dxa"/>
          <w:bottom w:w="28" w:type="dxa"/>
          <w:right w:w="28" w:type="dxa"/>
        </w:tblCellMar>
      </w:tblPr>
      <w:tblGrid>
        <w:gridCol w:w="634"/>
        <w:gridCol w:w="558"/>
        <w:gridCol w:w="563"/>
        <w:gridCol w:w="109"/>
        <w:gridCol w:w="109"/>
        <w:gridCol w:w="109"/>
        <w:gridCol w:w="206"/>
        <w:gridCol w:w="412"/>
        <w:gridCol w:w="124"/>
        <w:gridCol w:w="124"/>
        <w:gridCol w:w="124"/>
        <w:gridCol w:w="124"/>
        <w:gridCol w:w="206"/>
        <w:gridCol w:w="412"/>
        <w:gridCol w:w="124"/>
        <w:gridCol w:w="109"/>
        <w:gridCol w:w="109"/>
        <w:gridCol w:w="109"/>
        <w:gridCol w:w="256"/>
        <w:gridCol w:w="511"/>
        <w:gridCol w:w="154"/>
        <w:gridCol w:w="154"/>
        <w:gridCol w:w="154"/>
        <w:gridCol w:w="154"/>
        <w:gridCol w:w="256"/>
        <w:gridCol w:w="511"/>
        <w:gridCol w:w="218"/>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Additions to Property and Equipment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166 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145 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298 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431 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62 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402 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357 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493 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6485" w:type="dxa"/>
        <w:jc w:val="left"/>
        <w:tblInd w:w="0" w:type="dxa"/>
        <w:tblLayout w:type="fixed"/>
        <w:tblCellMar>
          <w:top w:w="28" w:type="dxa"/>
          <w:left w:w="28" w:type="dxa"/>
          <w:bottom w:w="28" w:type="dxa"/>
          <w:right w:w="28" w:type="dxa"/>
        </w:tblCellMar>
      </w:tblPr>
      <w:tblGrid>
        <w:gridCol w:w="634"/>
        <w:gridCol w:w="558"/>
        <w:gridCol w:w="563"/>
        <w:gridCol w:w="109"/>
        <w:gridCol w:w="109"/>
        <w:gridCol w:w="109"/>
        <w:gridCol w:w="190"/>
        <w:gridCol w:w="379"/>
        <w:gridCol w:w="114"/>
        <w:gridCol w:w="114"/>
        <w:gridCol w:w="114"/>
        <w:gridCol w:w="114"/>
        <w:gridCol w:w="190"/>
        <w:gridCol w:w="379"/>
        <w:gridCol w:w="114"/>
        <w:gridCol w:w="109"/>
        <w:gridCol w:w="109"/>
        <w:gridCol w:w="109"/>
        <w:gridCol w:w="256"/>
        <w:gridCol w:w="511"/>
        <w:gridCol w:w="154"/>
        <w:gridCol w:w="154"/>
        <w:gridCol w:w="154"/>
        <w:gridCol w:w="154"/>
        <w:gridCol w:w="256"/>
        <w:gridCol w:w="511"/>
        <w:gridCol w:w="218"/>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Additions to Property and Equipment</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Six Months Ended June 30,</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2025</w:t>
            </w:r>
          </w:p>
        </w:tc>
      </w:tr>
      <w:tr>
        <w:trPr/>
        <w:tc>
          <w:tcPr>
            <w:tcW w:w="175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72 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301 </w:t>
            </w:r>
          </w:p>
        </w:tc>
        <w:tc>
          <w:tcPr>
            <w:tcW w:w="21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182 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301 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577 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759 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834 </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122 </w:t>
            </w:r>
          </w:p>
        </w:tc>
        <w:tc>
          <w:tcPr>
            <w:tcW w:w="2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783 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3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890 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956 </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Abbott Laboratories and Subsidiaries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 15 — Segment Information (Continued)</w:t>
      </w:r>
    </w:p>
    <w:tbl>
      <w:tblPr>
        <w:tblW w:w="5512" w:type="dxa"/>
        <w:jc w:val="left"/>
        <w:tblInd w:w="0" w:type="dxa"/>
        <w:tblLayout w:type="fixed"/>
        <w:tblCellMar>
          <w:top w:w="28" w:type="dxa"/>
          <w:left w:w="28" w:type="dxa"/>
          <w:bottom w:w="28" w:type="dxa"/>
          <w:right w:w="28" w:type="dxa"/>
        </w:tblCellMar>
      </w:tblPr>
      <w:tblGrid>
        <w:gridCol w:w="726"/>
        <w:gridCol w:w="639"/>
        <w:gridCol w:w="645"/>
        <w:gridCol w:w="109"/>
        <w:gridCol w:w="109"/>
        <w:gridCol w:w="109"/>
        <w:gridCol w:w="251"/>
        <w:gridCol w:w="857"/>
        <w:gridCol w:w="151"/>
        <w:gridCol w:w="109"/>
        <w:gridCol w:w="109"/>
        <w:gridCol w:w="109"/>
        <w:gridCol w:w="328"/>
        <w:gridCol w:w="982"/>
        <w:gridCol w:w="279"/>
      </w:tblGrid>
      <w:tr>
        <w:trPr/>
        <w:tc>
          <w:tcPr>
            <w:tcW w:w="72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 Assets</w:t>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As of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180"/>
              <w:jc w:val="center"/>
              <w:rPr>
                <w:rFonts w:ascii="Times New Roman;serif" w:hAnsi="Times New Roman;serif"/>
                <w:b/>
                <w:color w:val="000000"/>
                <w:sz w:val="14"/>
              </w:rPr>
            </w:pPr>
            <w:r>
              <w:rPr>
                <w:rFonts w:ascii="Times New Roman;serif" w:hAnsi="Times New Roman;serif"/>
                <w:b/>
                <w:color w:val="000000"/>
                <w:sz w:val="14"/>
              </w:rPr>
              <w:t>As of December 31, 2025</w:t>
            </w:r>
          </w:p>
        </w:tc>
      </w:tr>
      <w:tr>
        <w:trPr/>
        <w:tc>
          <w:tcPr>
            <w:tcW w:w="20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Established Pharmaceuticals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3,819 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3,540 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5,278 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4,791 </w:t>
            </w:r>
          </w:p>
        </w:tc>
        <w:tc>
          <w:tcPr>
            <w:tcW w:w="279"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9,709 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8,273 </w:t>
            </w:r>
          </w:p>
        </w:tc>
        <w:tc>
          <w:tcPr>
            <w:tcW w:w="2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11,406 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10,689 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Reportable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30,212 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27,293 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6,714 </w:t>
            </w:r>
          </w:p>
        </w:tc>
        <w:tc>
          <w:tcPr>
            <w:tcW w:w="1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9,857 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 and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52,455 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29,561 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All other (c)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19,834 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20,002 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8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109,215 </w:t>
            </w:r>
          </w:p>
        </w:tc>
        <w:tc>
          <w:tcPr>
            <w:tcW w:w="1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4"/>
              </w:rPr>
            </w:pPr>
            <w:r>
              <w:rPr>
                <w:rFonts w:ascii="Times New Roman;serif" w:hAnsi="Times New Roman;serif"/>
                <w:b w:val="false"/>
                <w:color w:val="242424"/>
                <w:sz w:val="14"/>
              </w:rPr>
              <w:t>$</w:t>
            </w:r>
          </w:p>
        </w:tc>
        <w:tc>
          <w:tcPr>
            <w:tcW w:w="9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242424"/>
                <w:sz w:val="14"/>
              </w:rPr>
            </w:pPr>
            <w:r>
              <w:rPr>
                <w:rFonts w:ascii="Times New Roman;serif" w:hAnsi="Times New Roman;serif"/>
                <w:b w:val="false"/>
                <w:color w:val="242424"/>
                <w:sz w:val="14"/>
              </w:rPr>
              <w:t>86,713 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 of June 30, 2026, and December 31, 2025, all other includes the long-term assets associated with the defined benefit plans and certain deferred tax assets.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Financial Review — Results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revenues are derived primarily from the sale of a broad portfolio of healthcare products under short-term receivable arrangements. Patent protection and licenses, technological and performance features, and inclusion of Abbott’s products under a contract most significantly impact which products are sold; price controls, competition, and rebates most significantly impact the net selling prices of products; and foreign currency translation impacts the measurement of net sales and costs. Abbott’s primary products are medical devices, diagnostic testing products, nutritional products, and branded generic pharmaceuticals.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tables detail sales by reportable segment for the three and six months ended June 30. Percent changes are versus the prior year and are based on unrounded numbers.</w:t>
      </w:r>
    </w:p>
    <w:tbl>
      <w:tblPr>
        <w:tblW w:w="10205" w:type="dxa"/>
        <w:jc w:val="left"/>
        <w:tblInd w:w="0" w:type="dxa"/>
        <w:tblLayout w:type="fixed"/>
        <w:tblCellMar>
          <w:top w:w="28" w:type="dxa"/>
          <w:left w:w="28" w:type="dxa"/>
          <w:bottom w:w="28" w:type="dxa"/>
          <w:right w:w="28" w:type="dxa"/>
        </w:tblCellMar>
      </w:tblPr>
      <w:tblGrid>
        <w:gridCol w:w="736"/>
        <w:gridCol w:w="645"/>
        <w:gridCol w:w="650"/>
        <w:gridCol w:w="109"/>
        <w:gridCol w:w="109"/>
        <w:gridCol w:w="109"/>
        <w:gridCol w:w="254"/>
        <w:gridCol w:w="871"/>
        <w:gridCol w:w="131"/>
        <w:gridCol w:w="109"/>
        <w:gridCol w:w="109"/>
        <w:gridCol w:w="109"/>
        <w:gridCol w:w="254"/>
        <w:gridCol w:w="871"/>
        <w:gridCol w:w="131"/>
        <w:gridCol w:w="109"/>
        <w:gridCol w:w="109"/>
        <w:gridCol w:w="109"/>
        <w:gridCol w:w="243"/>
        <w:gridCol w:w="230"/>
        <w:gridCol w:w="459"/>
        <w:gridCol w:w="109"/>
        <w:gridCol w:w="109"/>
        <w:gridCol w:w="109"/>
        <w:gridCol w:w="333"/>
        <w:gridCol w:w="295"/>
        <w:gridCol w:w="742"/>
        <w:gridCol w:w="109"/>
        <w:gridCol w:w="109"/>
        <w:gridCol w:w="109"/>
        <w:gridCol w:w="406"/>
        <w:gridCol w:w="334"/>
        <w:gridCol w:w="985"/>
      </w:tblGrid>
      <w:tr>
        <w:trPr/>
        <w:tc>
          <w:tcPr>
            <w:tcW w:w="73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 to External Customers</w:t>
            </w:r>
          </w:p>
        </w:tc>
      </w:tr>
      <w:tr>
        <w:trPr/>
        <w:tc>
          <w:tcPr>
            <w:tcW w:w="2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 Excl. Foreign Exchange</w:t>
            </w:r>
          </w:p>
        </w:tc>
      </w:tr>
      <w:tr>
        <w:trPr/>
        <w:tc>
          <w:tcPr>
            <w:tcW w:w="20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Established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9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11,137 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7,377 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6,866 </w:t>
            </w:r>
          </w:p>
        </w:tc>
        <w:tc>
          <w:tcPr>
            <w:tcW w:w="13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9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9"/>
        <w:gridCol w:w="657"/>
        <w:gridCol w:w="661"/>
        <w:gridCol w:w="109"/>
        <w:gridCol w:w="109"/>
        <w:gridCol w:w="109"/>
        <w:gridCol w:w="240"/>
        <w:gridCol w:w="824"/>
        <w:gridCol w:w="124"/>
        <w:gridCol w:w="109"/>
        <w:gridCol w:w="109"/>
        <w:gridCol w:w="109"/>
        <w:gridCol w:w="240"/>
        <w:gridCol w:w="824"/>
        <w:gridCol w:w="124"/>
        <w:gridCol w:w="109"/>
        <w:gridCol w:w="109"/>
        <w:gridCol w:w="109"/>
        <w:gridCol w:w="255"/>
        <w:gridCol w:w="256"/>
        <w:gridCol w:w="464"/>
        <w:gridCol w:w="109"/>
        <w:gridCol w:w="109"/>
        <w:gridCol w:w="109"/>
        <w:gridCol w:w="329"/>
        <w:gridCol w:w="302"/>
        <w:gridCol w:w="757"/>
        <w:gridCol w:w="109"/>
        <w:gridCol w:w="109"/>
        <w:gridCol w:w="109"/>
        <w:gridCol w:w="412"/>
        <w:gridCol w:w="342"/>
        <w:gridCol w:w="1010"/>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2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Sales to External Customers</w:t>
            </w:r>
          </w:p>
        </w:tc>
      </w:tr>
      <w:tr>
        <w:trPr/>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 Excl. Foreign Exchange</w:t>
            </w:r>
          </w:p>
        </w:tc>
      </w:tr>
      <w:tr>
        <w:trPr/>
        <w:tc>
          <w:tcPr>
            <w:tcW w:w="2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Established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Nutritional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7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21,492 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14,267 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13,056 </w:t>
            </w:r>
          </w:p>
        </w:tc>
        <w:tc>
          <w:tcPr>
            <w:tcW w:w="12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4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7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10205" w:type="dxa"/>
        <w:jc w:val="left"/>
        <w:tblInd w:w="0" w:type="dxa"/>
        <w:tblLayout w:type="fixed"/>
        <w:tblCellMar>
          <w:top w:w="28" w:type="dxa"/>
          <w:left w:w="28" w:type="dxa"/>
          <w:bottom w:w="28" w:type="dxa"/>
          <w:right w:w="28" w:type="dxa"/>
        </w:tblCellMar>
      </w:tblPr>
      <w:tblGrid>
        <w:gridCol w:w="202"/>
        <w:gridCol w:w="177"/>
        <w:gridCol w:w="178"/>
        <w:gridCol w:w="2822"/>
        <w:gridCol w:w="2822"/>
        <w:gridCol w:w="4004"/>
      </w:tblGrid>
      <w:tr>
        <w:trPr/>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4004" w:type="dxa"/>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w:t>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order to compute results excluding the impact of exchange rates, current year U.S. dollar sales are multiplied or divided, as appropriate, by the current year average foreign exchange rates and then those amounts are multiplied or divided, as appropriate, by the prior year average foreign exchange rates.</w:t>
            </w:r>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n/m = Percent change is not meaningful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12.2 percent increase in total net sales during the second quarter of 2026, excluding the impact of foreign exchange, was driven by the acquisition of Exact Sciences Corporation (Exact Sciences) and high single-digit growth in Medical Devices and Established Pharmaceutical Products, partially offset by lower sales in Nutritional Products. The Exact Sciences acquisition was completed on March 23, 2026, and its results are reported within the Diagnostic Products segment as Cancer Diagnostics from the date of acquisition. On a reported basis, net sales were favorably impacted by foreign exchange as the relatively weaker U.S. dollar increased total international sales by 1.3 percent and total sales by 0.8 percent.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8.2 percent increase in total net sales during the first six months of 2026, excluding the impact of foreign exchange, reflected higher sales in Diagnostic Products, Medical Devices, and Established Pharmaceutical Products, partially offset by lower sales in Nutritional Products. Diagnostic Products sales increased as a result of the acquisition of Exact Sciences, while sales in Medical Devices and Established Pharmaceutical Products were driven by higher sales of existing products. Abbott’s net sales were favorably impacted by changes in foreign exchange rates in the first six months as the relatively weaker U.S. dollar increased total international sales by 3.8 percent and total sales by 2.3 percent.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table below provides detail by sales category for the six months ended June 30. Percent changes are versus the prior year and are based on unrounded numbers.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7"/>
        <w:gridCol w:w="607"/>
        <w:gridCol w:w="611"/>
        <w:gridCol w:w="109"/>
        <w:gridCol w:w="109"/>
        <w:gridCol w:w="109"/>
        <w:gridCol w:w="306"/>
        <w:gridCol w:w="894"/>
        <w:gridCol w:w="158"/>
        <w:gridCol w:w="109"/>
        <w:gridCol w:w="109"/>
        <w:gridCol w:w="109"/>
        <w:gridCol w:w="306"/>
        <w:gridCol w:w="894"/>
        <w:gridCol w:w="158"/>
        <w:gridCol w:w="109"/>
        <w:gridCol w:w="109"/>
        <w:gridCol w:w="109"/>
        <w:gridCol w:w="269"/>
        <w:gridCol w:w="272"/>
        <w:gridCol w:w="433"/>
        <w:gridCol w:w="109"/>
        <w:gridCol w:w="109"/>
        <w:gridCol w:w="109"/>
        <w:gridCol w:w="296"/>
        <w:gridCol w:w="263"/>
        <w:gridCol w:w="659"/>
        <w:gridCol w:w="109"/>
        <w:gridCol w:w="109"/>
        <w:gridCol w:w="109"/>
        <w:gridCol w:w="417"/>
        <w:gridCol w:w="288"/>
        <w:gridCol w:w="852"/>
      </w:tblGrid>
      <w:tr>
        <w:trPr/>
        <w:tc>
          <w:tcPr>
            <w:tcW w:w="88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Impact of Foreign Exchange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 Change Excl. Foreign Exchange</w:t>
            </w:r>
          </w:p>
        </w:tc>
      </w:tr>
      <w:tr>
        <w:trPr/>
        <w:tc>
          <w:tcPr>
            <w:tcW w:w="210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Established Pharmaceutical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Key Emerging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4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Emerging Markets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Nutritional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Pediatric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Pediatric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Adult Nutritionals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Adult Nutritionals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Diagnostic Products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Laboratory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Rapid and Molecular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Cancer Diagnostics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Medical Devices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Rhythm Management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Electrophysiology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Heart Failure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Vascular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Structural Heart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6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Diabetes 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4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6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___________________________________ </w:t>
      </w:r>
    </w:p>
    <w:tbl>
      <w:tblPr>
        <w:tblW w:w="10205" w:type="dxa"/>
        <w:jc w:val="left"/>
        <w:tblInd w:w="0" w:type="dxa"/>
        <w:tblLayout w:type="fixed"/>
        <w:tblCellMar>
          <w:top w:w="28" w:type="dxa"/>
          <w:left w:w="28" w:type="dxa"/>
          <w:bottom w:w="28" w:type="dxa"/>
          <w:right w:w="28" w:type="dxa"/>
        </w:tblCellMar>
      </w:tblPr>
      <w:tblGrid>
        <w:gridCol w:w="191"/>
        <w:gridCol w:w="168"/>
        <w:gridCol w:w="170"/>
        <w:gridCol w:w="2834"/>
        <w:gridCol w:w="2834"/>
        <w:gridCol w:w="4008"/>
      </w:tblGrid>
      <w:tr>
        <w:trPr/>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4008" w:type="dxa"/>
            <w:tcBorders/>
            <w:vAlign w:val="center"/>
          </w:tcPr>
          <w:p>
            <w:pPr>
              <w:pStyle w:val="TableContents"/>
              <w:bidi w:val="0"/>
              <w:spacing w:before="0" w:after="283"/>
              <w:jc w:val="left"/>
              <w:rPr>
                <w:sz w:val="4"/>
                <w:szCs w:val="4"/>
              </w:rPr>
            </w:pPr>
            <w:r>
              <w:rPr>
                <w:sz w:val="4"/>
                <w:szCs w:val="4"/>
              </w:rPr>
            </w:r>
          </w:p>
        </w:tc>
      </w:tr>
      <w:tr>
        <w:trPr/>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Notes:</w:t>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Abbott's Amplatzer Amulet Left Atrial Appendage Occluder device and related accessories were transferred from Structural Heart to Electrophysiology on January 1, 2026. As a result, $101 million of sales in the first six months of 2025 were moved from Structural Heart to Electrophysiology.</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in 2026, Abbott aggregated its previously reported Rapid Diagnostics, Molecular Diagnostics, and Point of Care businesses into the Rapid and Molecular Diagnostics business.</w:t>
            </w:r>
          </w:p>
        </w:tc>
      </w:tr>
      <w:tr>
        <w:trPr/>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On March 23, 2026, Abbott completed the acquisition of Exact Sciences. Following the acquisition, the sales of Exact Sciences are presented as Cancer Diagnostics.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total Established Pharmaceutical Products sales, excluding the impact of foreign exchange, increased 8.9 percent. Excluding the favorable effect of foreign exchange, sales in Key Emerging Markets for Established Pharmaceutical Products increased 10.1 percent in the first six months of 2026, led by double-digit growth in several countries across the Latin America and Asia Pacific regions. Other Emerging Markets, excluding the effect of foreign exchange, increased 4.9 percent in the first six months of 2026.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impact of foreign exchange, total Nutritional Products sales in the first six months of 2026 decreased 5.6 percent, reflecting lower sales volumes across the adult nutritional and U.S. pediatric product portfolios.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Diagnostic Products sales increased 22.4 percent, excluding the impact of foreign exchange. The inclusion of Exact Sciences and growth in Core Laboratory were partially offset by a decline in Rapid and Molecular Diagnostics. From the acquisition date of March 23, 2026, Diagnostic Products results included approximately $1.0 billion of sales from Exact Sciences, which are reported as Cancer Diagnostics. </w:t>
      </w:r>
    </w:p>
    <w:p>
      <w:pPr>
        <w:pStyle w:val="TextBody"/>
        <w:bidi w:val="0"/>
        <w:spacing w:lineRule="auto" w:line="288" w:before="120" w:after="283"/>
        <w:jc w:val="both"/>
        <w:rPr/>
      </w:pPr>
      <w:r>
        <w:rPr>
          <w:rFonts w:ascii="Times New Roman;serif" w:hAnsi="Times New Roman;serif"/>
          <w:b w:val="false"/>
          <w:color w:val="000000"/>
          <w:sz w:val="20"/>
        </w:rPr>
        <w:t>In Core Laboratory, sales increased 3.2 percent in the first six months of 2026, excluding the impact of foreign exchange, reflecting continued growth of diagnostic test sales on the Alinity</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platform across the U.S. and Latin America, partially offset by lower sales in China due to continued challenging market conditions. In Rapid and Molecular Diagnostics, sales decreased 8.8 percent in the first six months of 2026, excluding the impact of foreign exchange, primarily reflecting lower demand for respiratory virus tests due to a weaker respiratory virus season compared to the prior year.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Excluding the impact of foreign exchange, total Medical Devices sales increased 8.0 percent in the first six months of 2026, led by double</w:t>
        <w:noBreakHyphen/>
        <w:t>digit growth in Electrophysiology, Rhythm Management, and Heart Failure. Diabetes Care sales increased 8.2 percent, excluding the impact of foreign exchange, driven by continued growth in Abbott’s continuous glucose monitoring (CGM) systems in the U.S. and internationally. CGM systems sales totaled $4.1 billion and $3.6 billion in the first six months of 2026 and 2025, respectively, and increased 8.6 percent excluding the impact of foreign exchange.</w:t>
      </w:r>
    </w:p>
    <w:p>
      <w:pPr>
        <w:pStyle w:val="TextBody"/>
        <w:bidi w:val="0"/>
        <w:spacing w:lineRule="auto" w:line="288" w:before="120" w:after="283"/>
        <w:jc w:val="both"/>
        <w:rPr/>
      </w:pPr>
      <w:r>
        <w:rPr>
          <w:rFonts w:ascii="Times New Roman;serif" w:hAnsi="Times New Roman;serif"/>
          <w:b w:val="false"/>
          <w:color w:val="000000"/>
          <w:sz w:val="20"/>
        </w:rPr>
        <w:t>In Rhythm Management, sales increased 10.9 percent in the first six months of 2026, excluding the impact of foreign exchange, primarily due to growth in Aveir</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leadless pacemakers. In Electrophysiology, sales increased 13.0 percent, excluding the impact of foreign exchange, primarily reflecting increased sales of ablation catheters and related portfolio products. In Heart Failure, sales increased 10.4 percent, excluding the impact of foreign exchange, primarily reflecting growth across the portfolio of ventricular assist devices and related accessories. In Vascular, sales increased 5.0 percent, excluding the impact of foreign exchange, primarily reflecting growth in endovascular products. </w:t>
      </w:r>
    </w:p>
    <w:p>
      <w:pPr>
        <w:pStyle w:val="TextBody"/>
        <w:bidi w:val="0"/>
        <w:spacing w:lineRule="auto" w:line="288" w:before="120" w:after="283"/>
        <w:jc w:val="both"/>
        <w:rPr/>
      </w:pPr>
      <w:r>
        <w:rPr>
          <w:rFonts w:ascii="Times New Roman;serif" w:hAnsi="Times New Roman;serif"/>
          <w:b w:val="false"/>
          <w:color w:val="000000"/>
          <w:sz w:val="20"/>
        </w:rPr>
        <w:t>In May 2026, Abbott announced it secured CE Mark for Libre</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Duo, its dual glucose-ketone biowearable sensor.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gross profit margin percentage was 52.5 percent for the second quarter of 2026 and the first six months of 2026, compared to 52.7 percent for the second quarter and the first six months of 2025. The decrease in the second quarter and the first six months of 2026 primarily reflects higher intangible amortization expense related to the Exact Sciences acquisition and the unfavorable impact of higher costs, partially offset by favorable business mix, including the addition of Exact Sciences, continued margin improvement initiatives, and foreign exchange.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expenses increased $167 million to $892 million, or 22.9 percent, in the second quarter of 2026 compared to the prior year, and increased $218 million to $1.7 billion, or 15.1 percent, in the first six months of 2026 compared to the prior year. The increase in R&amp;D expenses in the second quarter and the first six months of 2026 primarily reflects the addition of the Exact Sciences business, as well as continued investment in development programs across multiple businesses. </w:t>
      </w:r>
    </w:p>
    <w:p>
      <w:pPr>
        <w:pStyle w:val="TextBody"/>
        <w:bidi w:val="0"/>
        <w:spacing w:lineRule="auto" w:line="288" w:before="120" w:after="283"/>
        <w:jc w:val="both"/>
        <w:rPr/>
      </w:pPr>
      <w:r>
        <w:rPr>
          <w:rFonts w:ascii="Times New Roman;serif" w:hAnsi="Times New Roman;serif"/>
          <w:b w:val="false"/>
          <w:color w:val="000000"/>
          <w:sz w:val="20"/>
        </w:rPr>
        <w:t>Selling, general, and administrative (SG&amp;A) expenses increased $934 million to $4.0 billion in the second quarter, or 30.3 percent, and increased $1.6 billion to $7.8 billion, or 26.2 percent, in the first six months of 2026, primarily due to the addition of the Exact Sciences business and related integration expenses, as well as higher legal reserves, increased selling and marketing spend to drive growth across various businesses, and the unfavorable impact of foreign exchange.</w:t>
      </w:r>
      <w:r>
        <w:rPr>
          <w:color w:val="EE2724"/>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Business Acquisition</w:t>
      </w:r>
    </w:p>
    <w:p>
      <w:pPr>
        <w:pStyle w:val="TextBody"/>
        <w:bidi w:val="0"/>
        <w:spacing w:lineRule="auto" w:line="288" w:before="120" w:after="283"/>
        <w:jc w:val="both"/>
        <w:rPr/>
      </w:pPr>
      <w:r>
        <w:rPr>
          <w:rFonts w:ascii="Times New Roman;serif" w:hAnsi="Times New Roman;serif"/>
          <w:b w:val="false"/>
          <w:color w:val="000000"/>
          <w:sz w:val="20"/>
        </w:rPr>
        <w:t>On March 23, 2026, Abbott completed the acquisition of Exact Sciences for approximately $20.6 billion. The acquisition was funded primarily through the issuance of $20.0 billion of long-term debt in March 2026, with the remainder funded by cash on hand. Under the terms of the agreement, Abbott paid $105 per common share in cash. As part of the acquisition, Abbott assumed approximately $2.8 billion of Exact Sciences’ debt, nearly all of which was repaid as of June 30, 2026. The acquisition of Exact Sciences has established Abbott's position in the cancer diagnostics market and expands its portfolio to include products such as Cologuard</w:t>
      </w:r>
      <w:r>
        <w:rPr>
          <w:rFonts w:ascii="Times New Roman;serif" w:hAnsi="Times New Roman;serif"/>
          <w:b w:val="false"/>
          <w:color w:val="000000"/>
          <w:sz w:val="13"/>
        </w:rPr>
        <w:t>®</w:t>
      </w:r>
      <w:r>
        <w:rPr>
          <w:rFonts w:ascii="Times New Roman;serif" w:hAnsi="Times New Roman;serif"/>
          <w:b w:val="false"/>
          <w:color w:val="000000"/>
          <w:sz w:val="20"/>
        </w:rPr>
        <w:t>, Oncotype DX</w:t>
      </w:r>
      <w:r>
        <w:rPr>
          <w:rFonts w:ascii="Times New Roman;serif" w:hAnsi="Times New Roman;serif"/>
          <w:b w:val="false"/>
          <w:color w:val="000000"/>
          <w:sz w:val="13"/>
        </w:rPr>
        <w:t>®</w:t>
      </w:r>
      <w:r>
        <w:rPr>
          <w:rFonts w:ascii="Times New Roman;serif" w:hAnsi="Times New Roman;serif"/>
          <w:b w:val="false"/>
          <w:color w:val="000000"/>
          <w:sz w:val="20"/>
        </w:rPr>
        <w:t>, and Cancerguard</w:t>
      </w:r>
      <w:r>
        <w:rPr>
          <w:rFonts w:ascii="Times New Roman;serif" w:hAnsi="Times New Roman;serif"/>
          <w:b w:val="false"/>
          <w:color w:val="000000"/>
          <w:sz w:val="13"/>
        </w:rPr>
        <w:t>®</w:t>
      </w:r>
      <w:r>
        <w:rPr>
          <w:rFonts w:ascii="Times New Roman;serif" w:hAnsi="Times New Roman;serif"/>
          <w:b w:val="false"/>
          <w:color w:val="000000"/>
          <w:sz w:val="2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allocation of the fair value of the Exact Sciences acquisition is shown in the table below. Allocation of the purchase price of the acquisition will be finalized when the valuation of assets and liabilities is completed and differences between the preliminary and final allocation could be material. </w:t>
      </w:r>
    </w:p>
    <w:tbl>
      <w:tblPr>
        <w:tblW w:w="5027" w:type="dxa"/>
        <w:jc w:val="left"/>
        <w:tblInd w:w="0" w:type="dxa"/>
        <w:tblLayout w:type="fixed"/>
        <w:tblCellMar>
          <w:top w:w="28" w:type="dxa"/>
          <w:left w:w="28" w:type="dxa"/>
          <w:bottom w:w="28" w:type="dxa"/>
          <w:right w:w="28" w:type="dxa"/>
        </w:tblCellMar>
      </w:tblPr>
      <w:tblGrid>
        <w:gridCol w:w="1381"/>
        <w:gridCol w:w="1217"/>
        <w:gridCol w:w="1226"/>
        <w:gridCol w:w="109"/>
        <w:gridCol w:w="109"/>
        <w:gridCol w:w="109"/>
        <w:gridCol w:w="211"/>
        <w:gridCol w:w="511"/>
        <w:gridCol w:w="154"/>
      </w:tblGrid>
      <w:tr>
        <w:trPr/>
        <w:tc>
          <w:tcPr>
            <w:tcW w:w="1381"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billions)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 assets, non-deductible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non-deductible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net 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recorded at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preliminary allocation of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goodwill is primarily attributable to future growth opportunities, assembled workforce, potential future technologies, and other intangible assets that do not qualify for separate recognition, as well as expected synergies from combining operations. The acquired net tangible assets consist primarily of property and equipment, trade accounts receivable, trade accounts payable, other current liabilities, and other non-current liabilities.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the acquisition had occurred as of the beginning of 2025, unaudited pro forma consolidated net sales would have been approximately $11.9 billion and $23.0 billion for the three and six months ended June 30, 2025, respectively. Unaudited pro forma earnings before taxes for the three months ended June 30, 2025, would have been approximately $1.6 billion, reflecting interest expense of approximately $0.2 billion and amortization expense related to acquired intangible assets of approximately $0.3 billion. Unaudited pro forma earnings before taxes for the six months ended June 30, 2025, would have been approximately $2.3 billion, reflecting transaction-related costs of approximately $0.5 billion, interest expense of approximately $0.5 billion, and amortization expense related to acquired intangible assets of approximately $0.5 billion. Unaudited pro forma consolidated net sales would have been approximately $12.6 billion and $24.5 billion for the three and six months ended June 30, 2026, respectively. Unaudited pro forma earnings before taxes would have been approximately $1.6 billion and $2.9 billion for the three and six months ended June 30, 2026, respectively, after giving effect to interest expense of approximately $0.2 billion and amortization expense related to acquired intangible assets of approximately $0.2 billion, and excluding transaction-related expenses of $0.5 billion that were directly attributable to the acquisition. The unaudited pro forma information is not necessarily indicative of the consolidated results of operations that would have been realized had the Exact Sciences acquisition been completed as of the beginning of 2025, nor is it intended to be indicative of future results of operations of the combined entity.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Abbott's condensed consolidated results include $1.0 billion of net sales related to Exact Sciences. Earnings of Exact Sciences included in Abbott's condensed consolidated financial statements since the acquisition date are not material to Abbott's consolidated net earnings. </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Other (Income) Expense, net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(income) expense, net was income of $134 million in the second quarter of 2026, compared to income of $137 million in the second quarter of 2025, and income of $293 million in the first six months of 2026, compared to income of $264 million in the first six months of 2025. The lower income in the second quarter of 2026 primarily reflected higher investment impairments, partially offset by higher income from the non-service cost components of net pension and post-retirement medical benefit costs. The higher income in the first six months of 2026 primarily reflected higher income associated with the non-service cost components of net pension and post-retirement medical benefit costs and unfavorable fair value adjustments of contingent consideration liabilities in the prior year that did not reoccur.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Interest Expense,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increased by $249 million to $299 million in the second quarter of 2026 and increased by $268 million to $367 million in the first six months of 2026. In the second quarter and the first six months of 2026, interest expense increased primarily due to interest on debt incurred related to the acquisition of Exact Sciences, partially offset by the benefit of prior year debt repayments and interest income earned on bond proceeds during the first quarter of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Taxes on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on earnings reflect the estimated annual effective rates and include charges for interest and penalties. In the first six months of 2026 and 2025, taxes on earnings included $18 million and $84 million, respectively, in excess tax benefits associated with share-based compensation. In the first six months of 2026 and 2025, taxes on earnings included approximately $440 million and $300 million, respectively, of tax expense related to a deferred tax asset that was recognized as a significant non-cash tax benefit in a prior year. In the first six months of 2026 and 2025, taxes on earnings also included approximately $60 million of net tax expense and $90 million of net tax benefit, respectively, primarily as the result of the resolution of various tax positions related to prior years.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September 2023, Abbott received a Statutory Notice of Deficiency (SNOD) from the IRS for the 2019 Federal tax year in the amount of $417 million. The primary adjustments proposed in the SNOD relate to the reallocation of income between Abbott’s U.S. entities and its foreign affiliates. Abbott believes that the income reallocation adjustments proposed in the SNOD are without merit, in part because certain adjustments contradict methods that were agreed to with the IRS in prior audit periods. The SNOD also contains other proposed adjustments that Abbott believes are erroneous and unsupported. Abbott filed a petition with the U.S. Tax Court contesting the SNOD in December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June 2024, Abbott received a SNOD from the IRS for the 2017 and 2018 Federal tax years in the amount of $192 million. The matters proposed in the 2017/2018 SNOD are substantially similar to the income allocation adjustments included in the 2019 SNOD. Abbott filed a petition in September 2024 with the U.S. Tax Court contesting the 2017/2018 SNOD in a manner consistent with its petition for the 2019 SNOD.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October 2024, Abbott received a SNOD from the IRS for the 2020 Federal tax year assessing an additional $443 million of income tax. The primary adjustments proposed in the SNOD are substantially similar to the income allocation adjustments included in the 2017/2018 and 2019 SNODs. Abbott believes that the income reallocation adjustments proposed in the SNOD are without merit. The SNOD also contains other proposed adjustments and omissions that Abbott believes are erroneous and unsupported. In addition to the tax assessment for the 2020 tax year, the 2020 SNOD also contested a deduction for which an estimated $440 million cash tax benefit would be available in a different taxable year as allowed under applicable U.S. tax law. Abbott filed a petition with the U.S. Tax Court contesting the SNOD in December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and the IRS are in active discussions regarding several of the disputed items contained in the 2017 – 2020 SNODs.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July 2024, Abbott received a $413 million tax assessment from the Malaysian tax authorities for the 2023 tax year. The assessment applies a property capital gains tax on the value of the shares associated with the intercompany sale of an affiliate. Abbott believes the assessment of the Malaysian tax authority to be without merit. In October 2025, the Penang High Court upheld the assessment of the Malaysian tax authority. In October 2025, Abbott filed an appeal with the Malaysian Court of Appeals.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other income tax jurisdictions for which tax returns are not yet settled, none of which Abbott expects to be individually significant. Abbott intends to vigorously defend its filing positions in all jurisdictions in which it has unresolved tax matters through ongoing discussions with taxing administrations and/or through litigation as necessary. Abbott reserves for uncertain tax positions related to unresolved tax matters where Abbott’s tax filing position does not meet the standard for recognition of an income tax benefit. Abbott continues to believe that the amount of its recorded reserves for uncertain tax positions is appropriate. Reserves for interest and penalties are not significant.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&amp; Development (OECD) has proposed a two-pillared plan for a revised international tax system. Pillar 1 proposes to reallocate taxing rights among the jurisdictions in which in-scope multinational corporations operate. Pillar 2 proposes to assess a 15 percent minimum tax on the earnings of in-scope multinational corporations on a country-by-country basis. Numerous countries have enacted legislation to adopt the Pillar 2 model rules. On January 5, 2026, the OECD released administrative guidance that, when enacted, exempts U.S.-parented groups from the Pillar 2 minimum tax. Abbott continues to monitor legislative developments and assess any potential impacts on Abbott's operations for both the Pillar 1 and Pillar 2 proposals.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decrease in cash and cash equivalents from $8.5 billion at December 31, 2025, to $5.1 billion at June 30, 2026, primarily reflects the use of cash to fund the cash portion of the acquisition of Exact Sciences and repay the $2.8 billion of debt assumed in the acquisition, as well as the payment of dividends, share repurchases, and capital expenditures in the first six months of 2026, partially offset by cash generated from operations.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Working capital was $6.7 billion at June 30, 2026, and $9.5 billion at December 31, 2025. The decrease in working capital in 2026 primarily reflects the reduction in cash to fund the cash portion of the Exact Sciences acquisition and the repayment of $2.8 billion of debt assumed as part of the acquisition, as well as an increase in other accrued liabilities, partially offset by increases in trade receivables and inventories.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Condensed Consolidated Statement of Cash Flows, Net cash from operating activities for the first six months of 2026 totaled $3.8 billion, an increase of $339 million from the prior year. Cash flow from operating activities increased during the period, primarily due to a favorable movement in trade receivables, lower pension contributions and lower cash taxes paid, partially offset by the cash payments related to the settlement of equity awards associated with the Exact Sciences acquisition. In the first six months of 2026, Net cash from operating activities included the payment of cash taxes of $856 million. Net cash from operating activities in the first six months of 2025 included pension contributions of $246 million and the cash tax payments of $945 million.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June 30, 2026, Abbott’s long-term debt rating was A+ by S&amp;P Global Ratings and Aa3 by Moody’s Investors Service. Abbott expects to maintain an investment grade rating.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the acquisition, Abbott assumed approximately $2.8 billion of Exact Sciences’ debt, nearly all of which has been repaid as of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15, 2025, Abbott repaid the $500 million outstanding principal amount of its 3.875% Notes upon maturity. On March 17, 2025, Abbott repaid the $1.0 billion outstanding principal amount of its 2.95% Notes upon maturity.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Abbott repurchased approximately 11.6 million of its common shares for $1.0 billion. As of June 30, 2026, $5.6 billion remains available for repurchase under the share repurchase program authorized by the board of directors in October 2024. </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In each of the first two quarters of </w:t>
      </w:r>
      <w:r>
        <w:rPr>
          <w:rFonts w:ascii="Times New Roman;serif" w:hAnsi="Times New Roman;serif"/>
          <w:b w:val="false"/>
          <w:color w:val="000000"/>
          <w:sz w:val="20"/>
        </w:rPr>
        <w:t>2026</w:t>
      </w:r>
      <w:r>
        <w:rPr>
          <w:rFonts w:ascii="Times New Roman;serif" w:hAnsi="Times New Roman;serif"/>
          <w:b w:val="false"/>
          <w:color w:val="000000"/>
          <w:sz w:val="20"/>
          <w:shd w:fill="FFFFFF" w:val="clear"/>
        </w:rPr>
        <w:t xml:space="preserve">, Abbott declared a quarterly dividend of $0.63 per share on its common shares, which represents an increase of 6.8 percent over the $0.59 per share dividend declared in each of the first two quarters of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Legislative Issues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Abbott’s primary markets are highly competitive and subject to substantial government regulations throughout the world. Abbott expects debate to continue over the availability, method of delivery, and payment for healthcare products and services. It is not possible to predict the extent to which Abbott or the healthcare industry in general might be adversely affected by these factors in the future. A more complete discussion of these factors is contained in Item 1, Business, and Item 1A, Risk Factors, in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Private Securities Litigation Reform Act of 1995 — A Caution Concerning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safe harbor provisions of the Private Securities Litigation Reform Act of 1995, Abbott cautions that any forward-looking statements made by Abbott are subject to risks and uncertainties that may cause actual results to differ materially from those indicated in the forward-looking statements. Economic, competitive, governmental, technological, and other factors that may affect Abbott's operations are discussed in Item 1A, "Risk Factors" in our Annual Report on Form 10-K for the year ended December 31, 2025, and are incorporated herein by reference. Abbott undertakes no obligation to release publicly any revisions to forward-looking statements as a result of subsequent events or developments, except as required by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 I. FINANCIAL INFORMATION</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4.</w:t>
      </w:r>
      <w:r>
        <w:rPr>
          <w:color w:val="000000"/>
        </w:rPr>
        <w:t xml:space="preserve">     </w:t>
      </w:r>
      <w:r>
        <w:rPr>
          <w:rFonts w:ascii="Times New Roman;serif" w:hAnsi="Times New Roman;serif"/>
          <w:b w:val="false"/>
          <w:color w:val="000000"/>
          <w:sz w:val="20"/>
          <w:u w:val="single"/>
        </w:rPr>
        <w:t>Controls and Procedures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(a)</w:t>
      </w:r>
      <w:r>
        <w:rPr>
          <w:rFonts w:ascii="Times New Roman;serif" w:hAnsi="Times New Roman;serif"/>
          <w:b w:val="false"/>
          <w:i/>
          <w:color w:val="000000"/>
          <w:sz w:val="20"/>
        </w:rPr>
        <w:t xml:space="preserve">Evaluation of disclosure controls and procedures. </w:t>
      </w:r>
      <w:r>
        <w:rPr>
          <w:rFonts w:ascii="Times New Roman;serif" w:hAnsi="Times New Roman;serif"/>
          <w:b w:val="false"/>
          <w:color w:val="000000"/>
          <w:sz w:val="20"/>
        </w:rPr>
        <w:t>The Chief Executive Officer, Robert B. Ford, and Chief Financial Officer, Philip P. Boudreau, evaluated the effectiveness of Abbott Laboratories’ disclosure controls and procedures as of the end of the period covered by this report, and concluded that Abbott Laboratories’ disclosure controls and procedures were effective to ensure that information Abbott is required to disclose in the reports that it files or submits with the Securities and Exchange Commission (the “Commission”) under the Securities Exchange Act of 1934 (the “Exchange Act”) is recorded, processed, summarized, and reported, within the time periods specified in the Commission’s rules and forms, and to ensure that information required to be disclosed by Abbott in the reports that it files or submits under the Exchange Act is accumulated and communicated to Abbott’s management, including its principal executive officer and principal financial officer, as appropriate to allow timely decisions regarding required disclosure.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Arial;sans-serif" w:hAnsi="Arial;sans-serif"/>
          <w:b w:val="false"/>
          <w:color w:val="000000"/>
          <w:sz w:val="18"/>
        </w:rPr>
        <w:t>(b)</w:t>
      </w: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During the quarter ended June 30, 2026, there were no changes in Abbott’s internal control over financial reporting (as defined in Rule 13a-15(f) under the Exchange Act) that have materially affected, or are reasonably likely to materially affect, Abbott’s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PART II. OTHER INFORMATION</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1.</w:t>
      </w:r>
      <w:r>
        <w:rPr>
          <w:color w:val="000000"/>
        </w:rPr>
        <w:t xml:space="preserve">     </w:t>
      </w:r>
      <w:r>
        <w:rPr>
          <w:rFonts w:ascii="Times New Roman;serif" w:hAnsi="Times New Roman;serif"/>
          <w:b w:val="false"/>
          <w:color w:val="000000"/>
          <w:sz w:val="20"/>
          <w:u w:val="single"/>
        </w:rPr>
        <w:t>Legal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Abbott is involved in various claims, legal proceedings and investigations as described in its Annual Report on Form 10-K for the year ended December 31, 2025 (the “2025 10-K”), including those described below (as of June 30, 2026, except where noted below). While it is not feasible to predict the outcome of such pending claims, proceedings, and investigations with certainty, management is of the opinion that their ultimate resolution should not have a material adverse effect on Abbott's financial position, cash flows, or results of operations.</w:t>
      </w:r>
    </w:p>
    <w:p>
      <w:pPr>
        <w:pStyle w:val="TextBody"/>
        <w:bidi w:val="0"/>
        <w:spacing w:lineRule="auto" w:line="288" w:before="120" w:after="283"/>
        <w:jc w:val="both"/>
        <w:rPr/>
      </w:pPr>
      <w:r>
        <w:rPr>
          <w:rFonts w:ascii="Times New Roman;serif" w:hAnsi="Times New Roman;serif"/>
          <w:b w:val="false"/>
          <w:color w:val="000000"/>
          <w:sz w:val="20"/>
        </w:rPr>
        <w:t>In the 2025 10-K, Abbott reported that it is a defendant in numerous lawsuits alleging that preterm infants developed necrotizing enterocolitis as a result of being administered Abbott’s preterm infant formula products. Abbott further reported in the 2025 10-K that in a Missouri state court trial held in July 2024, a jury awarded a plaintiff (“</w:t>
      </w:r>
      <w:r>
        <w:rPr>
          <w:rFonts w:ascii="Times New Roman;serif" w:hAnsi="Times New Roman;serif"/>
          <w:b w:val="false"/>
          <w:i/>
          <w:color w:val="000000"/>
          <w:sz w:val="20"/>
        </w:rPr>
        <w:t>Gill</w:t>
      </w:r>
      <w:r>
        <w:rPr>
          <w:color w:val="000000"/>
        </w:rPr>
        <w:t>”</w:t>
      </w:r>
      <w:r>
        <w:rPr>
          <w:rFonts w:ascii="Times New Roman;serif" w:hAnsi="Times New Roman;serif"/>
          <w:b w:val="false"/>
          <w:color w:val="000000"/>
          <w:sz w:val="20"/>
        </w:rPr>
        <w:t xml:space="preserve">) $495 million in damages, and Abbott appealed the </w:t>
      </w:r>
      <w:r>
        <w:rPr>
          <w:rFonts w:ascii="Times New Roman;serif" w:hAnsi="Times New Roman;serif"/>
          <w:b w:val="false"/>
          <w:i/>
          <w:color w:val="000000"/>
          <w:sz w:val="20"/>
        </w:rPr>
        <w:t>Gill</w:t>
      </w:r>
      <w:r>
        <w:rPr>
          <w:color w:val="000000"/>
        </w:rPr>
        <w:t xml:space="preserve"> </w:t>
      </w:r>
      <w:r>
        <w:rPr>
          <w:rFonts w:ascii="Times New Roman;serif" w:hAnsi="Times New Roman;serif"/>
          <w:b w:val="false"/>
          <w:color w:val="000000"/>
          <w:sz w:val="20"/>
        </w:rPr>
        <w:t xml:space="preserve">verdict to the Missouri Court of Appeals in December 2024. In May 2026, the Missouri Court of Appeals affirmed the </w:t>
      </w:r>
      <w:r>
        <w:rPr>
          <w:rFonts w:ascii="Times New Roman;serif" w:hAnsi="Times New Roman;serif"/>
          <w:b w:val="false"/>
          <w:i/>
          <w:color w:val="000000"/>
          <w:sz w:val="20"/>
        </w:rPr>
        <w:t>Gill</w:t>
      </w:r>
      <w:r>
        <w:rPr>
          <w:color w:val="000000"/>
        </w:rPr>
        <w:t xml:space="preserve"> </w:t>
      </w:r>
      <w:r>
        <w:rPr>
          <w:rFonts w:ascii="Times New Roman;serif" w:hAnsi="Times New Roman;serif"/>
          <w:b w:val="false"/>
          <w:color w:val="000000"/>
          <w:sz w:val="20"/>
        </w:rPr>
        <w:t>verdict. Abbott stands by its products and the information it provided about them, and it is seeking review of the ruling from the Supreme Court of Missouri.</w:t>
      </w:r>
    </w:p>
    <w:p>
      <w:pPr>
        <w:pStyle w:val="TextBody"/>
        <w:bidi w:val="0"/>
        <w:spacing w:lineRule="auto" w:line="288" w:before="120" w:after="283"/>
        <w:jc w:val="both"/>
        <w:rPr/>
      </w:pPr>
      <w:r>
        <w:rPr>
          <w:rFonts w:ascii="Times New Roman;serif" w:hAnsi="Times New Roman;serif"/>
          <w:b w:val="false"/>
          <w:color w:val="000000"/>
          <w:sz w:val="20"/>
        </w:rPr>
        <w:t xml:space="preserve">In the 2025 10-K, Abbott reported that six shareholder derivative lawsuits had been pending in a consolidated proceeding, </w:t>
      </w:r>
      <w:r>
        <w:rPr>
          <w:rFonts w:ascii="Times New Roman;serif" w:hAnsi="Times New Roman;serif"/>
          <w:b w:val="false"/>
          <w:i/>
          <w:color w:val="000000"/>
          <w:sz w:val="20"/>
        </w:rPr>
        <w:t>In re Abbott Laboratories Infant Formula Shareholder Derivative Litigation</w:t>
      </w:r>
      <w:r>
        <w:rPr>
          <w:rFonts w:ascii="Times New Roman;serif" w:hAnsi="Times New Roman;serif"/>
          <w:b w:val="false"/>
          <w:color w:val="000000"/>
          <w:sz w:val="20"/>
        </w:rPr>
        <w:t xml:space="preserve">, before the United States District Court for the Northern District of Illinois against certain of Abbott’s current and former directors and officers relating to Abbott’s manufacturing of certain powdered infant formula products. In June 2026, the court granted final approval of a settlement of this matter.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hanging="360"/>
        <w:jc w:val="both"/>
        <w:rPr/>
      </w:pPr>
      <w:r>
        <w:rPr>
          <w:rFonts w:ascii="Times New Roman;serif" w:hAnsi="Times New Roman;serif"/>
          <w:b w:val="false"/>
          <w:color w:val="000000"/>
          <w:sz w:val="20"/>
          <w:u w:val="single"/>
        </w:rPr>
        <w:t>Item 2.</w:t>
      </w:r>
      <w:r>
        <w:rPr>
          <w:color w:val="000000"/>
        </w:rPr>
        <w:t xml:space="preserve">     </w:t>
      </w:r>
      <w:r>
        <w:rPr>
          <w:rFonts w:ascii="Times New Roman;serif" w:hAnsi="Times New Roman;serif"/>
          <w:b w:val="false"/>
          <w:color w:val="000000"/>
          <w:sz w:val="20"/>
          <w:u w:val="single"/>
        </w:rPr>
        <w:t>Unregistered Sales of Equity Securities and Use of Proceeds</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(c)</w:t>
      </w:r>
      <w:r>
        <w:rPr>
          <w:rFonts w:ascii="Times New Roman;serif" w:hAnsi="Times New Roman;serif"/>
          <w:b w:val="false"/>
          <w:i/>
          <w:color w:val="000000"/>
          <w:sz w:val="20"/>
        </w:rPr>
        <w:t>Issuer Purchases of Equity Securities</w:t>
      </w:r>
    </w:p>
    <w:p>
      <w:pPr>
        <w:pStyle w:val="TextBody"/>
        <w:bidi w:val="0"/>
        <w:spacing w:before="0" w:after="0"/>
        <w:jc w:val="both"/>
        <w:rPr/>
      </w:pPr>
      <w:r>
        <w:rPr/>
      </w:r>
    </w:p>
    <w:tbl>
      <w:tblPr>
        <w:tblW w:w="9924" w:type="dxa"/>
        <w:jc w:val="left"/>
        <w:tblInd w:w="0" w:type="dxa"/>
        <w:tblLayout w:type="fixed"/>
        <w:tblCellMar>
          <w:top w:w="28" w:type="dxa"/>
          <w:left w:w="28" w:type="dxa"/>
          <w:bottom w:w="28" w:type="dxa"/>
          <w:right w:w="28" w:type="dxa"/>
        </w:tblCellMar>
      </w:tblPr>
      <w:tblGrid>
        <w:gridCol w:w="914"/>
        <w:gridCol w:w="804"/>
        <w:gridCol w:w="816"/>
        <w:gridCol w:w="109"/>
        <w:gridCol w:w="109"/>
        <w:gridCol w:w="109"/>
        <w:gridCol w:w="540"/>
        <w:gridCol w:w="541"/>
        <w:gridCol w:w="296"/>
        <w:gridCol w:w="109"/>
        <w:gridCol w:w="109"/>
        <w:gridCol w:w="109"/>
        <w:gridCol w:w="231"/>
        <w:gridCol w:w="790"/>
        <w:gridCol w:w="119"/>
        <w:gridCol w:w="109"/>
        <w:gridCol w:w="109"/>
        <w:gridCol w:w="109"/>
        <w:gridCol w:w="540"/>
        <w:gridCol w:w="541"/>
        <w:gridCol w:w="456"/>
        <w:gridCol w:w="109"/>
        <w:gridCol w:w="109"/>
        <w:gridCol w:w="109"/>
        <w:gridCol w:w="211"/>
        <w:gridCol w:w="1336"/>
        <w:gridCol w:w="109"/>
        <w:gridCol w:w="109"/>
        <w:gridCol w:w="109"/>
        <w:gridCol w:w="154"/>
      </w:tblGrid>
      <w:tr>
        <w:trPr/>
        <w:tc>
          <w:tcPr>
            <w:tcW w:w="91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 Total</w:t>
              <w:br/>
              <w:t>Number of</w:t>
              <w:br/>
              <w:t>Shares (or</w:t>
              <w:br/>
              <w:t>Units)</w:t>
              <w:br/>
              <w:t>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 Average</w:t>
              <w:br/>
              <w:t>Price Paid per</w:t>
              <w:br/>
              <w:t>Share (or</w:t>
              <w:br/>
              <w:t>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 Total Number</w:t>
              <w:br/>
              <w:t>of Shares (or</w:t>
              <w:br/>
              <w:t>Units) Purchased</w:t>
              <w:br/>
              <w:t>as Part of</w:t>
              <w:br/>
              <w:t>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 Maximum</w:t>
              <w:br/>
              <w:t>Number (or</w:t>
              <w:br/>
              <w:t>Approximate</w:t>
              <w:br/>
              <w:t>Dollar Value) of</w:t>
              <w:br/>
              <w:t>Shares (or Units)</w:t>
              <w:br/>
              <w:t>that May Yet Be</w:t>
              <w:br/>
              <w:t>Purchased Under</w:t>
              <w:br/>
              <w:t>the Plans or</w:t>
              <w:br/>
              <w:t>Programs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3,499,094 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92.742 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3,499,094 </w:t>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6,365,048,004 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84.174 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3,600,000 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6,062,022,204 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4,500,000 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5,649,179,754 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11,599,094 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11,599,094 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5,649,179,754 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1.These shares do not include the shares surrendered to Abbott to satisfy tax withholding obligations in connection with the vesting of restricted stock or restricted stock units.</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2.On October 11, 2024, the board of directors authorized the repurchase of up to $7 billion of Abbott common shares, from time to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u w:val="single"/>
        </w:rPr>
        <w:t>Item 6.</w:t>
      </w:r>
      <w:r>
        <w:rPr>
          <w:color w:val="000000"/>
        </w:rPr>
        <w:t xml:space="preserve">     </w:t>
      </w:r>
      <w:r>
        <w:rPr>
          <w:rFonts w:ascii="Times New Roman;serif" w:hAnsi="Times New Roman;serif"/>
          <w:b w:val="false"/>
          <w:color w:val="000000"/>
          <w:sz w:val="20"/>
          <w:u w:val="single"/>
        </w:rPr>
        <w:t>Exhibits</w:t>
      </w:r>
    </w:p>
    <w:tbl>
      <w:tblPr>
        <w:tblW w:w="10205" w:type="dxa"/>
        <w:jc w:val="left"/>
        <w:tblInd w:w="0" w:type="dxa"/>
        <w:tblLayout w:type="fixed"/>
        <w:tblCellMar>
          <w:top w:w="28" w:type="dxa"/>
          <w:left w:w="28" w:type="dxa"/>
          <w:bottom w:w="28" w:type="dxa"/>
          <w:right w:w="28" w:type="dxa"/>
        </w:tblCellMar>
      </w:tblPr>
      <w:tblGrid>
        <w:gridCol w:w="264"/>
        <w:gridCol w:w="231"/>
        <w:gridCol w:w="234"/>
        <w:gridCol w:w="112"/>
        <w:gridCol w:w="112"/>
        <w:gridCol w:w="112"/>
        <w:gridCol w:w="2812"/>
        <w:gridCol w:w="2615"/>
        <w:gridCol w:w="3713"/>
      </w:tblGrid>
      <w:tr>
        <w:trPr/>
        <w:tc>
          <w:tcPr>
            <w:tcW w:w="26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3713" w:type="dxa"/>
            <w:tcBorders/>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w:t>
            </w:r>
          </w:p>
        </w:tc>
      </w:tr>
      <w:tr>
        <w:trPr/>
        <w:tc>
          <w:tcPr>
            <w:tcW w:w="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q2202610qex311.htm">
              <w:r>
                <w:rPr>
                  <w:rStyle w:val="InternetLink"/>
                  <w:rFonts w:ascii="Times New Roman;serif" w:hAnsi="Times New Roman;serif"/>
                  <w:b w:val="false"/>
                  <w:color w:val="0000FF"/>
                  <w:sz w:val="20"/>
                  <w:u w:val="single"/>
                </w:rPr>
                <w:t>Certification of Chief Executive Officer Required by Rule 13a-14(a) (17 CFR 240.13a-14(a)).</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2202610qex312.htm">
              <w:r>
                <w:rPr>
                  <w:rStyle w:val="InternetLink"/>
                  <w:rFonts w:ascii="Times New Roman;serif" w:hAnsi="Times New Roman;serif"/>
                  <w:b w:val="false"/>
                  <w:color w:val="0000FF"/>
                  <w:sz w:val="20"/>
                  <w:u w:val="single"/>
                </w:rPr>
                <w:t>Certification of Chief Financial Officer Required by Rule 13a-14(a) (17 CFR 240.13a-14(a)).</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Exhibits 32.1 and 32.2 are furnished herewith and should not be deemed to be “filed” under the Securities Exchange Act of 1934.</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q2202610qe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Sarbanes-Oxley Act of 2002.</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0"/>
              <w:jc w:val="both"/>
              <w:rPr/>
            </w:pPr>
            <w:hyperlink w:anchor="q2202610qe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Sarbanes-Oxley Act of 2002.</w:t>
              </w:r>
            </w:hyperlink>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following financial statements and notes from the Abbott Laboratories Quarterly Report on Form 10-Q for the quarter and six months ended June 30, 2026, formatted in Inline XBRL: (i) Condensed Consolidated Statement of Earnings; (ii) Condensed Consolidated Statement of Comprehensive Income; (iii) Condensed Consolidated Balance Sheet; (iv) Condensed Consolidated Statement of Shareholders’ Investment; (v) Condensed Consolidated Statement of Cash Flows; and (vi) Notes to the Condensed Consolidated Financial Statements.</w:t>
            </w:r>
          </w:p>
        </w:tc>
      </w:tr>
      <w:tr>
        <w:trPr/>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in the Inline XBRL document and included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16c6c8db9c30499fa6bd9cef266445ee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528" w:type="dxa"/>
        <w:jc w:val="left"/>
        <w:tblInd w:w="0" w:type="dxa"/>
        <w:tblLayout w:type="fixed"/>
        <w:tblCellMar>
          <w:top w:w="28" w:type="dxa"/>
          <w:left w:w="28" w:type="dxa"/>
          <w:bottom w:w="28" w:type="dxa"/>
          <w:right w:w="28" w:type="dxa"/>
        </w:tblCellMar>
      </w:tblPr>
      <w:tblGrid>
        <w:gridCol w:w="446"/>
        <w:gridCol w:w="393"/>
        <w:gridCol w:w="393"/>
        <w:gridCol w:w="972"/>
        <w:gridCol w:w="972"/>
        <w:gridCol w:w="980"/>
        <w:gridCol w:w="109"/>
        <w:gridCol w:w="109"/>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ABBOTT LABORATORIES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Executive Vice President, Finance </w:t>
              <w:br/>
              <w:t>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by Rule 13a-14(a) (17 CFR 240.13a-14(a))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Robert B. Ford,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Abbott Laboratories;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5.Abbott’s other certifying officer and I have disclosed, based on our most recent evaluation of internal control over financial reporting, to Abbott’s auditors and the audit committee of Abbott’s board of directors: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Abbott’s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Abbott’s internal control over financial reporting.</w:t>
      </w:r>
    </w:p>
    <w:tbl>
      <w:tblPr>
        <w:tblW w:w="6014" w:type="dxa"/>
        <w:jc w:val="left"/>
        <w:tblInd w:w="0" w:type="dxa"/>
        <w:tblLayout w:type="fixed"/>
        <w:tblCellMar>
          <w:top w:w="28" w:type="dxa"/>
          <w:left w:w="28" w:type="dxa"/>
          <w:bottom w:w="28" w:type="dxa"/>
          <w:right w:w="28" w:type="dxa"/>
        </w:tblCellMar>
      </w:tblPr>
      <w:tblGrid>
        <w:gridCol w:w="618"/>
        <w:gridCol w:w="544"/>
        <w:gridCol w:w="547"/>
        <w:gridCol w:w="1257"/>
        <w:gridCol w:w="1257"/>
        <w:gridCol w:w="1791"/>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FORD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Ford</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Required by Rule 13a-14(a) (17 CFR 240.13a-14(a))</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Philip P. Boudreau, certify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Abbott Laboratories;</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Abbott as of, and for, the periods presented in this report;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4.Abbott’s other certifying officer and I are responsible for establishing and maintaining disclosure controls and procedures (as defined in Exchange Act Rules 13a-15(e) and 15d-15(e)) and internal control over financial reporting (as defined in Exchange Act Rules 13a-15(f) and 15d-15(f)) for Abbott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Abbott,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Abbott’s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Abbott’s internal control over financial reporting that occurred during Abbott’s most recent fiscal quarter that has materially affected, or is reasonably likely to materially affect, Abbott’s internal control over financial reporting;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5.Abbott’s other certifying officer and I have disclosed, based on our most recent evaluation of internal control over financial reporting, to Abbott’s auditors and the audit committee of Abbott’s board of directors: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Abbott’s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Abbott’s internal control over financial reporting.</w:t>
      </w:r>
    </w:p>
    <w:tbl>
      <w:tblPr>
        <w:tblW w:w="4634" w:type="dxa"/>
        <w:jc w:val="left"/>
        <w:tblInd w:w="0" w:type="dxa"/>
        <w:tblLayout w:type="fixed"/>
        <w:tblCellMar>
          <w:top w:w="28" w:type="dxa"/>
          <w:left w:w="28" w:type="dxa"/>
          <w:bottom w:w="28" w:type="dxa"/>
          <w:right w:w="28" w:type="dxa"/>
        </w:tblCellMar>
      </w:tblPr>
      <w:tblGrid>
        <w:gridCol w:w="618"/>
        <w:gridCol w:w="544"/>
        <w:gridCol w:w="547"/>
        <w:gridCol w:w="856"/>
        <w:gridCol w:w="856"/>
        <w:gridCol w:w="1213"/>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28, 2026</w:t>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w:t>
              <w:br/>
              <w:t>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Abbott Laboratories (the “Company”) on Form 10-Q for the period ended June 30, 2026 as filed with the Securities and Exchange Commission (the “Report”), I, Robert B. Ford, Chairman of the Board and Chief Executive Officer of the Company, certify, pursuant to 18 U.S.C. § 1350, as adopted pursuant to § 906 of the Sarbanes-Oxley Act of 2002, that:</w:t>
      </w:r>
    </w:p>
    <w:p>
      <w:pPr>
        <w:pStyle w:val="TextBody"/>
        <w:bidi w:val="0"/>
        <w:spacing w:lineRule="auto" w:line="288" w:before="240" w:after="283"/>
        <w:ind w:left="0" w:right="0" w:hanging="360"/>
        <w:jc w:val="left"/>
        <w:rPr/>
      </w:pPr>
      <w:r>
        <w:rPr>
          <w:rFonts w:ascii="Times New Roman;serif" w:hAnsi="Times New Roman;serif"/>
          <w:b w:val="false"/>
          <w:color w:val="000000"/>
          <w:sz w:val="20"/>
        </w:rPr>
        <w:t>(1)The Report fully c</w:t>
      </w:r>
      <w:r>
        <w:rPr>
          <w:rFonts w:ascii="Times New Roman;serif" w:hAnsi="Times New Roman;serif"/>
          <w:b w:val="false"/>
          <w:color w:val="000000"/>
          <w:sz w:val="20"/>
          <w:shd w:fill="FFFFFF" w:val="clear"/>
        </w:rPr>
        <w:t>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(2)The information contained in the Report fairly presents, in all material respects, the financial condition and results of operations of the Company.</w:t>
      </w:r>
    </w:p>
    <w:tbl>
      <w:tblPr>
        <w:tblW w:w="4647" w:type="dxa"/>
        <w:jc w:val="left"/>
        <w:tblInd w:w="0" w:type="dxa"/>
        <w:tblLayout w:type="fixed"/>
        <w:tblCellMar>
          <w:top w:w="28" w:type="dxa"/>
          <w:left w:w="28" w:type="dxa"/>
          <w:bottom w:w="28" w:type="dxa"/>
          <w:right w:w="28" w:type="dxa"/>
        </w:tblCellMar>
      </w:tblPr>
      <w:tblGrid>
        <w:gridCol w:w="1546"/>
        <w:gridCol w:w="1361"/>
        <w:gridCol w:w="1368"/>
        <w:gridCol w:w="109"/>
        <w:gridCol w:w="109"/>
        <w:gridCol w:w="154"/>
      </w:tblGrid>
      <w:tr>
        <w:trPr/>
        <w:tc>
          <w:tcPr>
            <w:tcW w:w="15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B. 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B. Ford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Abbott Laboratories and will be retained by Abbott Laboratories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Abbott Laboratories (the “Company”) on Form 10-Q for the period ended June 30, 2026 as filed with the Securities and Exchange Commission (the “Report”), I, Philip P. Boudreau, Executive Vice President, Finance and Chief Financial Officer of the Company, certify, pursuant to 18 U.S.C. § 1350, as adopted pursuant to § 906 of the Sarbanes-Oxley Act of 2002,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67" w:type="dxa"/>
        <w:jc w:val="left"/>
        <w:tblInd w:w="0" w:type="dxa"/>
        <w:tblLayout w:type="fixed"/>
        <w:tblCellMar>
          <w:top w:w="28" w:type="dxa"/>
          <w:left w:w="28" w:type="dxa"/>
          <w:bottom w:w="28" w:type="dxa"/>
          <w:right w:w="28" w:type="dxa"/>
        </w:tblCellMar>
      </w:tblPr>
      <w:tblGrid>
        <w:gridCol w:w="1050"/>
        <w:gridCol w:w="920"/>
        <w:gridCol w:w="925"/>
        <w:gridCol w:w="109"/>
        <w:gridCol w:w="109"/>
        <w:gridCol w:w="154"/>
      </w:tblGrid>
      <w:tr>
        <w:trPr/>
        <w:tc>
          <w:tcPr>
            <w:tcW w:w="10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Philip P. Boudreau</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Finance</w:t>
              <w:br/>
              <w:t>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Abbott Laboratories and will be retained by Abbott Laboratories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15327</Words>
  <Characters>84869</Characters>
  <CharactersWithSpaces>98676</CharactersWithSpaces>
  <Paragraphs>2737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