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20"/>
          <w:szCs w:val="20"/>
          <w:color w:val="0000EE"/>
        </w:rPr>
      </w:pPr>
      <w:hyperlink w:anchor="page18">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198" w:lineRule="exact"/>
        <w:rPr>
          <w:sz w:val="24"/>
          <w:szCs w:val="24"/>
          <w:color w:val="auto"/>
        </w:rPr>
      </w:pPr>
    </w:p>
    <w:p>
      <w:pPr>
        <w:ind w:left="4501"/>
        <w:spacing w:after="0"/>
        <w:rPr>
          <w:sz w:val="20"/>
          <w:szCs w:val="20"/>
          <w:color w:val="auto"/>
        </w:rPr>
      </w:pPr>
      <w:r>
        <w:rPr>
          <w:rFonts w:ascii="Arial" w:cs="Arial" w:eastAsia="Arial" w:hAnsi="Arial"/>
          <w:sz w:val="16"/>
          <w:szCs w:val="16"/>
          <w:b w:val="1"/>
          <w:bCs w:val="1"/>
          <w:color w:val="auto"/>
        </w:rPr>
        <w:t>SCHEDULE 14A INFORMATION</w:t>
      </w:r>
    </w:p>
    <w:p>
      <w:pPr>
        <w:sectPr>
          <w:pgSz w:w="11900" w:h="16838" w:orient="portrait"/>
          <w:cols w:equalWidth="0" w:num="1">
            <w:col w:w="10220"/>
          </w:cols>
          <w:pgMar w:left="239" w:top="443" w:right="1440" w:bottom="1440" w:gutter="0" w:footer="0" w:header="0"/>
        </w:sectPr>
      </w:pPr>
    </w:p>
    <w:p>
      <w:pPr>
        <w:spacing w:after="0" w:line="217" w:lineRule="exact"/>
        <w:rPr>
          <w:sz w:val="24"/>
          <w:szCs w:val="24"/>
          <w:color w:val="auto"/>
        </w:rPr>
      </w:pPr>
    </w:p>
    <w:p>
      <w:pPr>
        <w:ind w:left="4261"/>
        <w:spacing w:after="0"/>
        <w:rPr>
          <w:sz w:val="20"/>
          <w:szCs w:val="20"/>
          <w:color w:val="auto"/>
        </w:rPr>
      </w:pPr>
      <w:r>
        <w:rPr>
          <w:rFonts w:ascii="Arial" w:cs="Arial" w:eastAsia="Arial" w:hAnsi="Arial"/>
          <w:sz w:val="14"/>
          <w:szCs w:val="14"/>
          <w:color w:val="auto"/>
        </w:rPr>
        <w:t>Proxy Statement Pursuant to Section 14(a) of</w:t>
      </w:r>
    </w:p>
    <w:p>
      <w:pPr>
        <w:spacing w:after="0" w:line="45" w:lineRule="exact"/>
        <w:rPr>
          <w:sz w:val="24"/>
          <w:szCs w:val="24"/>
          <w:color w:val="auto"/>
        </w:rPr>
      </w:pPr>
    </w:p>
    <w:p>
      <w:pPr>
        <w:ind w:left="3721"/>
        <w:spacing w:after="0"/>
        <w:rPr>
          <w:sz w:val="20"/>
          <w:szCs w:val="20"/>
          <w:color w:val="auto"/>
        </w:rPr>
      </w:pPr>
      <w:r>
        <w:rPr>
          <w:rFonts w:ascii="Arial" w:cs="Arial" w:eastAsia="Arial" w:hAnsi="Arial"/>
          <w:sz w:val="14"/>
          <w:szCs w:val="14"/>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96"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230" w:lineRule="exact"/>
        <w:rPr>
          <w:sz w:val="24"/>
          <w:szCs w:val="24"/>
          <w:color w:val="auto"/>
        </w:rPr>
      </w:pPr>
    </w:p>
    <w:p>
      <w:pPr>
        <w:sectPr>
          <w:pgSz w:w="11900" w:h="16838" w:orient="portrait"/>
          <w:cols w:equalWidth="0" w:num="2">
            <w:col w:w="7261" w:space="400"/>
            <w:col w:w="2559"/>
          </w:cols>
          <w:pgMar w:left="239" w:top="443" w:right="1440" w:bottom="1440" w:gutter="0" w:footer="0" w:header="0"/>
          <w:type w:val="continuous"/>
        </w:sectPr>
      </w:pPr>
    </w:p>
    <w:p>
      <w:pPr>
        <w:spacing w:after="0" w:line="29" w:lineRule="exact"/>
        <w:rPr>
          <w:sz w:val="24"/>
          <w:szCs w:val="24"/>
          <w:color w:val="auto"/>
        </w:rPr>
      </w:pPr>
    </w:p>
    <w:p>
      <w:pPr>
        <w:ind w:left="1"/>
        <w:spacing w:after="0"/>
        <w:rPr>
          <w:sz w:val="20"/>
          <w:szCs w:val="20"/>
          <w:color w:val="auto"/>
        </w:rPr>
      </w:pPr>
      <w:r>
        <w:rPr>
          <w:rFonts w:ascii="Arial" w:cs="Arial" w:eastAsia="Arial" w:hAnsi="Arial"/>
          <w:sz w:val="16"/>
          <w:szCs w:val="16"/>
          <w:color w:val="auto"/>
        </w:rPr>
        <w:t>Filed by the Registrant /X/</w:t>
      </w:r>
    </w:p>
    <w:p>
      <w:pPr>
        <w:spacing w:after="0" w:line="22" w:lineRule="exact"/>
        <w:rPr>
          <w:sz w:val="24"/>
          <w:szCs w:val="24"/>
          <w:color w:val="auto"/>
        </w:rPr>
      </w:pPr>
    </w:p>
    <w:p>
      <w:pPr>
        <w:ind w:left="1"/>
        <w:spacing w:after="0"/>
        <w:rPr>
          <w:sz w:val="20"/>
          <w:szCs w:val="20"/>
          <w:color w:val="auto"/>
        </w:rPr>
      </w:pPr>
      <w:r>
        <w:rPr>
          <w:rFonts w:ascii="Arial" w:cs="Arial" w:eastAsia="Arial" w:hAnsi="Arial"/>
          <w:sz w:val="14"/>
          <w:szCs w:val="14"/>
          <w:color w:val="auto"/>
        </w:rPr>
        <w:t>Filed by a Party other than the Registrant / /</w:t>
      </w:r>
    </w:p>
    <w:p>
      <w:pPr>
        <w:sectPr>
          <w:pgSz w:w="11900" w:h="16838" w:orient="portrait"/>
          <w:cols w:equalWidth="0" w:num="1">
            <w:col w:w="10220"/>
          </w:cols>
          <w:pgMar w:left="239" w:top="443" w:right="1440" w:bottom="1440" w:gutter="0" w:footer="0" w:header="0"/>
          <w:type w:val="continuous"/>
        </w:sectPr>
      </w:pPr>
    </w:p>
    <w:p>
      <w:pPr>
        <w:spacing w:after="0" w:line="229" w:lineRule="exact"/>
        <w:rPr>
          <w:sz w:val="24"/>
          <w:szCs w:val="24"/>
          <w:color w:val="auto"/>
        </w:rPr>
      </w:pPr>
    </w:p>
    <w:p>
      <w:pPr>
        <w:ind w:left="1"/>
        <w:spacing w:after="0"/>
        <w:rPr>
          <w:sz w:val="20"/>
          <w:szCs w:val="20"/>
          <w:color w:val="auto"/>
        </w:rPr>
      </w:pPr>
      <w:r>
        <w:rPr>
          <w:rFonts w:ascii="Arial" w:cs="Arial" w:eastAsia="Arial" w:hAnsi="Arial"/>
          <w:sz w:val="16"/>
          <w:szCs w:val="16"/>
          <w:color w:val="auto"/>
        </w:rPr>
        <w:t>Check the appropriate box:</w:t>
      </w:r>
    </w:p>
    <w:p>
      <w:pPr>
        <w:spacing w:after="0" w:line="22" w:lineRule="exact"/>
        <w:rPr>
          <w:sz w:val="24"/>
          <w:szCs w:val="24"/>
          <w:color w:val="auto"/>
        </w:rPr>
      </w:pPr>
    </w:p>
    <w:p>
      <w:pPr>
        <w:ind w:left="81" w:hanging="81"/>
        <w:spacing w:after="0"/>
        <w:tabs>
          <w:tab w:leader="none" w:pos="81" w:val="left"/>
        </w:tabs>
        <w:numPr>
          <w:ilvl w:val="0"/>
          <w:numId w:val="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Preliminary Proxy Statement</w:t>
      </w:r>
    </w:p>
    <w:p>
      <w:pPr>
        <w:spacing w:after="0" w:line="14" w:lineRule="exact"/>
        <w:rPr>
          <w:rFonts w:ascii="Arial" w:cs="Arial" w:eastAsia="Arial" w:hAnsi="Arial"/>
          <w:sz w:val="16"/>
          <w:szCs w:val="16"/>
          <w:color w:val="auto"/>
        </w:rPr>
      </w:pPr>
    </w:p>
    <w:p>
      <w:pPr>
        <w:ind w:left="81" w:hanging="81"/>
        <w:spacing w:after="0"/>
        <w:tabs>
          <w:tab w:leader="none" w:pos="81" w:val="left"/>
        </w:tabs>
        <w:numPr>
          <w:ilvl w:val="0"/>
          <w:numId w:val="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b w:val="1"/>
          <w:bCs w:val="1"/>
          <w:color w:val="auto"/>
        </w:rPr>
        <w:t>Confidential, for Use of the Commission Only (as permitted by Rule 14a-6(e)(2))</w:t>
      </w:r>
    </w:p>
    <w:p>
      <w:pPr>
        <w:spacing w:after="0" w:line="206" w:lineRule="exact"/>
        <w:rPr>
          <w:sz w:val="24"/>
          <w:szCs w:val="24"/>
          <w:color w:val="auto"/>
        </w:rPr>
      </w:pPr>
    </w:p>
    <w:p>
      <w:pPr>
        <w:ind w:left="81" w:hanging="81"/>
        <w:spacing w:after="0"/>
        <w:tabs>
          <w:tab w:leader="none" w:pos="81" w:val="left"/>
        </w:tabs>
        <w:numPr>
          <w:ilvl w:val="0"/>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5"/>
          <w:szCs w:val="15"/>
          <w:color w:val="auto"/>
        </w:rPr>
        <w:t>Definitive Additional Materials</w:t>
      </w:r>
    </w:p>
    <w:p>
      <w:pPr>
        <w:spacing w:after="0" w:line="21" w:lineRule="exact"/>
        <w:rPr>
          <w:rFonts w:ascii="Arial" w:cs="Arial" w:eastAsia="Arial" w:hAnsi="Arial"/>
          <w:sz w:val="16"/>
          <w:szCs w:val="16"/>
          <w:color w:val="auto"/>
        </w:rPr>
      </w:pPr>
    </w:p>
    <w:p>
      <w:pPr>
        <w:ind w:left="81" w:hanging="81"/>
        <w:spacing w:after="0"/>
        <w:tabs>
          <w:tab w:leader="none" w:pos="81" w:val="left"/>
        </w:tabs>
        <w:numPr>
          <w:ilvl w:val="0"/>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Soliciting Material Pursuant to §240.14a-12</w:t>
      </w:r>
    </w:p>
    <w:p>
      <w:pPr>
        <w:spacing w:after="0" w:line="227" w:lineRule="exact"/>
        <w:rPr>
          <w:sz w:val="24"/>
          <w:szCs w:val="24"/>
          <w:color w:val="auto"/>
        </w:rPr>
      </w:pPr>
    </w:p>
    <w:p>
      <w:pPr>
        <w:jc w:val="center"/>
        <w:ind w:right="518"/>
        <w:spacing w:after="0"/>
        <w:rPr>
          <w:sz w:val="20"/>
          <w:szCs w:val="20"/>
          <w:color w:val="auto"/>
        </w:rPr>
      </w:pPr>
      <w:r>
        <w:rPr>
          <w:rFonts w:ascii="Arial" w:cs="Arial" w:eastAsia="Arial" w:hAnsi="Arial"/>
          <w:sz w:val="16"/>
          <w:szCs w:val="16"/>
          <w:b w:val="1"/>
          <w:bCs w:val="1"/>
          <w:color w:val="auto"/>
        </w:rPr>
        <w:t>ABBOTT LABORATORIES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616712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67120" cy="20320"/>
                    </a:xfrm>
                    <a:prstGeom prst="rect">
                      <a:avLst/>
                    </a:prstGeom>
                    <a:noFill/>
                  </pic:spPr>
                </pic:pic>
              </a:graphicData>
            </a:graphic>
          </wp:anchor>
        </w:drawing>
      </w:r>
    </w:p>
    <w:p>
      <w:pPr>
        <w:spacing w:after="0" w:line="222" w:lineRule="exact"/>
        <w:rPr>
          <w:sz w:val="24"/>
          <w:szCs w:val="24"/>
          <w:color w:val="auto"/>
        </w:rPr>
      </w:pPr>
    </w:p>
    <w:p>
      <w:pPr>
        <w:ind w:left="3301"/>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343535</wp:posOffset>
            </wp:positionV>
            <wp:extent cx="6167120"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67120" cy="20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2521"/>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13" w:lineRule="exact"/>
        <w:rPr>
          <w:sz w:val="24"/>
          <w:szCs w:val="24"/>
          <w:color w:val="auto"/>
        </w:rPr>
      </w:pPr>
    </w:p>
    <w:p>
      <w:pPr>
        <w:ind w:left="1"/>
        <w:spacing w:after="0"/>
        <w:rPr>
          <w:sz w:val="20"/>
          <w:szCs w:val="20"/>
          <w:color w:val="auto"/>
        </w:rPr>
      </w:pPr>
      <w:r>
        <w:rPr>
          <w:rFonts w:ascii="Arial" w:cs="Arial" w:eastAsia="Arial" w:hAnsi="Arial"/>
          <w:sz w:val="16"/>
          <w:szCs w:val="16"/>
          <w:color w:val="auto"/>
        </w:rPr>
        <w:t>Payment of Filing Fee (Check the appropriate box):</w:t>
      </w:r>
    </w:p>
    <w:p>
      <w:pPr>
        <w:spacing w:after="0" w:line="22" w:lineRule="exact"/>
        <w:rPr>
          <w:sz w:val="24"/>
          <w:szCs w:val="24"/>
          <w:color w:val="auto"/>
        </w:rPr>
      </w:pPr>
    </w:p>
    <w:p>
      <w:pPr>
        <w:ind w:left="1"/>
        <w:spacing w:after="0"/>
        <w:tabs>
          <w:tab w:leader="none" w:pos="580" w:val="left"/>
        </w:tabs>
        <w:rPr>
          <w:sz w:val="20"/>
          <w:szCs w:val="20"/>
          <w:color w:val="auto"/>
        </w:rPr>
      </w:pP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No fee required</w:t>
      </w:r>
    </w:p>
    <w:p>
      <w:pPr>
        <w:spacing w:after="0" w:line="15" w:lineRule="exact"/>
        <w:rPr>
          <w:sz w:val="24"/>
          <w:szCs w:val="24"/>
          <w:color w:val="auto"/>
        </w:rPr>
      </w:pPr>
    </w:p>
    <w:p>
      <w:pPr>
        <w:ind w:left="81" w:hanging="81"/>
        <w:spacing w:after="0"/>
        <w:tabs>
          <w:tab w:leader="none" w:pos="81"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Fee computed on table below per Exchange Act Rules 14a-6(i)(4) and 0-11</w:t>
      </w:r>
    </w:p>
    <w:p>
      <w:pPr>
        <w:spacing w:after="0" w:line="14" w:lineRule="exact"/>
        <w:rPr>
          <w:rFonts w:ascii="Arial" w:cs="Arial" w:eastAsia="Arial" w:hAnsi="Arial"/>
          <w:sz w:val="16"/>
          <w:szCs w:val="16"/>
          <w:color w:val="auto"/>
        </w:rPr>
      </w:pPr>
    </w:p>
    <w:p>
      <w:pPr>
        <w:ind w:left="1161" w:hanging="565"/>
        <w:spacing w:after="0"/>
        <w:tabs>
          <w:tab w:leader="none" w:pos="1161"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29" w:lineRule="exact"/>
        <w:rPr>
          <w:rFonts w:ascii="Arial" w:cs="Arial" w:eastAsia="Arial" w:hAnsi="Arial"/>
          <w:sz w:val="16"/>
          <w:szCs w:val="16"/>
          <w:color w:val="auto"/>
        </w:rPr>
      </w:pPr>
    </w:p>
    <w:p>
      <w:pPr>
        <w:ind w:left="1161" w:hanging="565"/>
        <w:spacing w:after="0"/>
        <w:tabs>
          <w:tab w:leader="none" w:pos="1161"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1161" w:right="939" w:hanging="565"/>
        <w:spacing w:after="0" w:line="287" w:lineRule="auto"/>
        <w:tabs>
          <w:tab w:leader="none" w:pos="1161"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79" w:lineRule="exact"/>
        <w:rPr>
          <w:rFonts w:ascii="Arial" w:cs="Arial" w:eastAsia="Arial" w:hAnsi="Arial"/>
          <w:sz w:val="16"/>
          <w:szCs w:val="16"/>
          <w:color w:val="auto"/>
        </w:rPr>
      </w:pPr>
    </w:p>
    <w:p>
      <w:pPr>
        <w:ind w:left="1161" w:hanging="565"/>
        <w:spacing w:after="0"/>
        <w:tabs>
          <w:tab w:leader="none" w:pos="1161"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1161" w:hanging="565"/>
        <w:spacing w:after="0"/>
        <w:tabs>
          <w:tab w:leader="none" w:pos="1161"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81" w:hanging="81"/>
        <w:spacing w:after="0"/>
        <w:tabs>
          <w:tab w:leader="none" w:pos="81"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Fee paid previously with preliminary materials.</w:t>
      </w:r>
    </w:p>
    <w:p>
      <w:pPr>
        <w:spacing w:after="0" w:line="21" w:lineRule="exact"/>
        <w:rPr>
          <w:rFonts w:ascii="Arial" w:cs="Arial" w:eastAsia="Arial" w:hAnsi="Arial"/>
          <w:sz w:val="16"/>
          <w:szCs w:val="16"/>
          <w:color w:val="auto"/>
        </w:rPr>
      </w:pPr>
    </w:p>
    <w:p>
      <w:pPr>
        <w:ind w:left="601" w:right="519" w:hanging="601"/>
        <w:spacing w:after="0" w:line="276" w:lineRule="auto"/>
        <w:tabs>
          <w:tab w:leader="none" w:pos="9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61" w:hanging="565"/>
        <w:spacing w:after="0"/>
        <w:tabs>
          <w:tab w:leader="none" w:pos="1161"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29" w:lineRule="exact"/>
        <w:rPr>
          <w:rFonts w:ascii="Arial" w:cs="Arial" w:eastAsia="Arial" w:hAnsi="Arial"/>
          <w:sz w:val="16"/>
          <w:szCs w:val="16"/>
          <w:color w:val="auto"/>
        </w:rPr>
      </w:pPr>
    </w:p>
    <w:p>
      <w:pPr>
        <w:ind w:left="1161" w:hanging="565"/>
        <w:spacing w:after="0"/>
        <w:tabs>
          <w:tab w:leader="none" w:pos="1161"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1161" w:hanging="565"/>
        <w:spacing w:after="0"/>
        <w:tabs>
          <w:tab w:leader="none" w:pos="1161"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1161" w:hanging="565"/>
        <w:spacing w:after="0"/>
        <w:tabs>
          <w:tab w:leader="none" w:pos="1161"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738505</wp:posOffset>
            </wp:positionH>
            <wp:positionV relativeFrom="paragraph">
              <wp:posOffset>-3454400</wp:posOffset>
            </wp:positionV>
            <wp:extent cx="542671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26710" cy="20320"/>
                    </a:xfrm>
                    <a:prstGeom prst="rect">
                      <a:avLst/>
                    </a:prstGeom>
                    <a:noFill/>
                  </pic:spPr>
                </pic:pic>
              </a:graphicData>
            </a:graphic>
          </wp:anchor>
        </w:drawing>
        <w:drawing>
          <wp:anchor simplePos="0" relativeHeight="251657728" behindDoc="1" locked="0" layoutInCell="0" allowOverlap="1">
            <wp:simplePos x="0" y="0"/>
            <wp:positionH relativeFrom="column">
              <wp:posOffset>738505</wp:posOffset>
            </wp:positionH>
            <wp:positionV relativeFrom="paragraph">
              <wp:posOffset>-3060065</wp:posOffset>
            </wp:positionV>
            <wp:extent cx="542671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26710" cy="20320"/>
                    </a:xfrm>
                    <a:prstGeom prst="rect">
                      <a:avLst/>
                    </a:prstGeom>
                    <a:noFill/>
                  </pic:spPr>
                </pic:pic>
              </a:graphicData>
            </a:graphic>
          </wp:anchor>
        </w:drawing>
        <w:drawing>
          <wp:anchor simplePos="0" relativeHeight="251657728" behindDoc="1" locked="0" layoutInCell="0" allowOverlap="1">
            <wp:simplePos x="0" y="0"/>
            <wp:positionH relativeFrom="column">
              <wp:posOffset>738505</wp:posOffset>
            </wp:positionH>
            <wp:positionV relativeFrom="paragraph">
              <wp:posOffset>-2540000</wp:posOffset>
            </wp:positionV>
            <wp:extent cx="542671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26710" cy="20320"/>
                    </a:xfrm>
                    <a:prstGeom prst="rect">
                      <a:avLst/>
                    </a:prstGeom>
                    <a:noFill/>
                  </pic:spPr>
                </pic:pic>
              </a:graphicData>
            </a:graphic>
          </wp:anchor>
        </w:drawing>
        <w:drawing>
          <wp:anchor simplePos="0" relativeHeight="251657728" behindDoc="1" locked="0" layoutInCell="0" allowOverlap="1">
            <wp:simplePos x="0" y="0"/>
            <wp:positionH relativeFrom="column">
              <wp:posOffset>738505</wp:posOffset>
            </wp:positionH>
            <wp:positionV relativeFrom="paragraph">
              <wp:posOffset>-2146300</wp:posOffset>
            </wp:positionV>
            <wp:extent cx="542671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26710" cy="20320"/>
                    </a:xfrm>
                    <a:prstGeom prst="rect">
                      <a:avLst/>
                    </a:prstGeom>
                    <a:noFill/>
                  </pic:spPr>
                </pic:pic>
              </a:graphicData>
            </a:graphic>
          </wp:anchor>
        </w:drawing>
        <w:drawing>
          <wp:anchor simplePos="0" relativeHeight="251657728" behindDoc="1" locked="0" layoutInCell="0" allowOverlap="1">
            <wp:simplePos x="0" y="0"/>
            <wp:positionH relativeFrom="column">
              <wp:posOffset>738505</wp:posOffset>
            </wp:positionH>
            <wp:positionV relativeFrom="paragraph">
              <wp:posOffset>-1751965</wp:posOffset>
            </wp:positionV>
            <wp:extent cx="542671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26710" cy="20320"/>
                    </a:xfrm>
                    <a:prstGeom prst="rect">
                      <a:avLst/>
                    </a:prstGeom>
                    <a:noFill/>
                  </pic:spPr>
                </pic:pic>
              </a:graphicData>
            </a:graphic>
          </wp:anchor>
        </w:drawing>
        <w:drawing>
          <wp:anchor simplePos="0" relativeHeight="251657728" behindDoc="1" locked="0" layoutInCell="0" allowOverlap="1">
            <wp:simplePos x="0" y="0"/>
            <wp:positionH relativeFrom="column">
              <wp:posOffset>738505</wp:posOffset>
            </wp:positionH>
            <wp:positionV relativeFrom="paragraph">
              <wp:posOffset>-979805</wp:posOffset>
            </wp:positionV>
            <wp:extent cx="542671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26710" cy="20320"/>
                    </a:xfrm>
                    <a:prstGeom prst="rect">
                      <a:avLst/>
                    </a:prstGeom>
                    <a:noFill/>
                  </pic:spPr>
                </pic:pic>
              </a:graphicData>
            </a:graphic>
          </wp:anchor>
        </w:drawing>
        <w:drawing>
          <wp:anchor simplePos="0" relativeHeight="251657728" behindDoc="1" locked="0" layoutInCell="0" allowOverlap="1">
            <wp:simplePos x="0" y="0"/>
            <wp:positionH relativeFrom="column">
              <wp:posOffset>738505</wp:posOffset>
            </wp:positionH>
            <wp:positionV relativeFrom="paragraph">
              <wp:posOffset>-586105</wp:posOffset>
            </wp:positionV>
            <wp:extent cx="542671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26710" cy="20320"/>
                    </a:xfrm>
                    <a:prstGeom prst="rect">
                      <a:avLst/>
                    </a:prstGeom>
                    <a:noFill/>
                  </pic:spPr>
                </pic:pic>
              </a:graphicData>
            </a:graphic>
          </wp:anchor>
        </w:drawing>
        <w:drawing>
          <wp:anchor simplePos="0" relativeHeight="251657728" behindDoc="1" locked="0" layoutInCell="0" allowOverlap="1">
            <wp:simplePos x="0" y="0"/>
            <wp:positionH relativeFrom="column">
              <wp:posOffset>738505</wp:posOffset>
            </wp:positionH>
            <wp:positionV relativeFrom="paragraph">
              <wp:posOffset>-191770</wp:posOffset>
            </wp:positionV>
            <wp:extent cx="542671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26710" cy="20320"/>
                    </a:xfrm>
                    <a:prstGeom prst="rect">
                      <a:avLst/>
                    </a:prstGeom>
                    <a:noFill/>
                  </pic:spPr>
                </pic:pic>
              </a:graphicData>
            </a:graphic>
          </wp:anchor>
        </w:drawing>
        <w:drawing>
          <wp:anchor simplePos="0" relativeHeight="251657728" behindDoc="1" locked="0" layoutInCell="0" allowOverlap="1">
            <wp:simplePos x="0" y="0"/>
            <wp:positionH relativeFrom="column">
              <wp:posOffset>738505</wp:posOffset>
            </wp:positionH>
            <wp:positionV relativeFrom="paragraph">
              <wp:posOffset>201295</wp:posOffset>
            </wp:positionV>
            <wp:extent cx="542671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26710" cy="20320"/>
                    </a:xfrm>
                    <a:prstGeom prst="rect">
                      <a:avLst/>
                    </a:prstGeom>
                    <a:noFill/>
                  </pic:spPr>
                </pic:pic>
              </a:graphicData>
            </a:graphic>
          </wp:anchor>
        </w:drawing>
      </w:r>
    </w:p>
    <w:p>
      <w:pPr>
        <w:sectPr>
          <w:pgSz w:w="11900" w:h="16838" w:orient="portrait"/>
          <w:cols w:equalWidth="0" w:num="1">
            <w:col w:w="10220"/>
          </w:cols>
          <w:pgMar w:left="239" w:top="443"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6524625" cy="79825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24625" cy="7982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2B85FF"/>
        </w:rPr>
        <w:t>Abbott Laboratories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2B85FF"/>
        </w:rPr>
        <w:t>100 Abbott Park Road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2B85FF"/>
        </w:rPr>
        <w:t>Abbott Park, Illinois 60064-6400 U.S.A.</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Cover:</w:t>
      </w:r>
    </w:p>
    <w:p>
      <w:pPr>
        <w:spacing w:after="0" w:line="242"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Catalin Stoian is a resident of Flower House, a group home for</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orphaned children with HIV/AIDS in Romania. Catalin also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receives care from the new Romanian-American Children's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Center that provides medical treatment for approximately 1,000</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children living with HIV. He is also one of the many children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receiving a lifetime donation of Kaletra®, Abbott's newest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protease inhibitor drug. Grants from Abbott and the Abbott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Laboratories Fund's Step Forward™ program, in partnership</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with the Baylor College of Medicine, support all of these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initiatives in Romania.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262495" cy="67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2495" cy="67945"/>
                    </a:xfrm>
                    <a:prstGeom prst="rect">
                      <a:avLst/>
                    </a:prstGeom>
                    <a:noFill/>
                  </pic:spPr>
                </pic:pic>
              </a:graphicData>
            </a:graphic>
          </wp:anchor>
        </w:drawing>
      </w:r>
    </w:p>
    <w:p>
      <w:pPr>
        <w:sectPr>
          <w:pgSz w:w="11900" w:h="16838" w:orient="portrait"/>
          <w:cols w:equalWidth="0" w:num="1">
            <w:col w:w="10219"/>
          </w:cols>
          <w:pgMar w:left="240" w:top="1440" w:right="1440" w:bottom="179" w:gutter="0" w:footer="0" w:header="0"/>
        </w:sectPr>
      </w:pPr>
    </w:p>
    <w:bookmarkStart w:id="2" w:name="page3"/>
    <w:bookmarkEnd w:id="2"/>
    <w:p>
      <w:pPr>
        <w:ind w:left="1"/>
        <w:spacing w:after="0"/>
        <w:rPr>
          <w:sz w:val="20"/>
          <w:szCs w:val="20"/>
          <w:color w:val="auto"/>
        </w:rPr>
      </w:pPr>
      <w:r>
        <w:rPr>
          <w:rFonts w:ascii="Arial" w:cs="Arial" w:eastAsia="Arial" w:hAnsi="Arial"/>
          <w:sz w:val="30"/>
          <w:szCs w:val="30"/>
          <w:b w:val="1"/>
          <w:bCs w:val="1"/>
          <w:color w:val="2B85FF"/>
        </w:rPr>
        <w:t>Your Vote</w:t>
      </w:r>
    </w:p>
    <w:p>
      <w:pPr>
        <w:spacing w:after="0" w:line="23" w:lineRule="exact"/>
        <w:rPr>
          <w:sz w:val="20"/>
          <w:szCs w:val="20"/>
          <w:color w:val="auto"/>
        </w:rPr>
      </w:pPr>
    </w:p>
    <w:p>
      <w:pPr>
        <w:ind w:left="1"/>
        <w:spacing w:after="0"/>
        <w:rPr>
          <w:sz w:val="20"/>
          <w:szCs w:val="20"/>
          <w:color w:val="auto"/>
        </w:rPr>
      </w:pPr>
      <w:r>
        <w:rPr>
          <w:rFonts w:ascii="Arial" w:cs="Arial" w:eastAsia="Arial" w:hAnsi="Arial"/>
          <w:sz w:val="30"/>
          <w:szCs w:val="30"/>
          <w:b w:val="1"/>
          <w:bCs w:val="1"/>
          <w:color w:val="2B85FF"/>
        </w:rPr>
        <w:t>Is Important</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2B85FF"/>
        </w:rPr>
        <w:t>Please sign and promptly return your</w:t>
      </w:r>
    </w:p>
    <w:p>
      <w:pPr>
        <w:spacing w:after="0" w:line="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2B85FF"/>
        </w:rPr>
        <w:t>proxy in the enclosed envelope or vote</w:t>
      </w:r>
    </w:p>
    <w:p>
      <w:pPr>
        <w:ind w:left="1"/>
        <w:spacing w:after="0"/>
        <w:rPr>
          <w:sz w:val="20"/>
          <w:szCs w:val="20"/>
          <w:color w:val="auto"/>
        </w:rPr>
      </w:pPr>
      <w:r>
        <w:rPr>
          <w:rFonts w:ascii="Arial" w:cs="Arial" w:eastAsia="Arial" w:hAnsi="Arial"/>
          <w:sz w:val="20"/>
          <w:szCs w:val="20"/>
          <w:b w:val="1"/>
          <w:bCs w:val="1"/>
          <w:color w:val="2B85FF"/>
        </w:rPr>
        <w:t>your shares by telephone or using the Internet.</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2B85FF"/>
        </w:rPr>
        <w:t>Notice of Annual Meeting</w:t>
      </w:r>
    </w:p>
    <w:p>
      <w:pPr>
        <w:spacing w:after="0" w:line="34"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2B85FF"/>
        </w:rPr>
        <w:t>of Shareholders</w:t>
      </w:r>
    </w:p>
    <w:p>
      <w:pPr>
        <w:spacing w:after="0" w:line="198" w:lineRule="exact"/>
        <w:rPr>
          <w:sz w:val="20"/>
          <w:szCs w:val="20"/>
          <w:color w:val="auto"/>
        </w:rPr>
      </w:pPr>
    </w:p>
    <w:p>
      <w:pPr>
        <w:ind w:left="1" w:right="240"/>
        <w:spacing w:after="0" w:line="287" w:lineRule="auto"/>
        <w:rPr>
          <w:sz w:val="20"/>
          <w:szCs w:val="20"/>
          <w:color w:val="auto"/>
        </w:rPr>
      </w:pPr>
      <w:r>
        <w:rPr>
          <w:rFonts w:ascii="Arial" w:cs="Arial" w:eastAsia="Arial" w:hAnsi="Arial"/>
          <w:sz w:val="16"/>
          <w:szCs w:val="16"/>
          <w:color w:val="auto"/>
        </w:rPr>
        <w:t>The Annual Meeting of the Shareholders of Abbott Laboratories will be held at Abbott's headquarters, 100 Abbott Park Road, at the intersection of Route 137 and Waukegan Road, Lake County, Illinois, on Friday, April 26, 2002, at 9:00 a.m. for the following purposes:</w:t>
      </w:r>
    </w:p>
    <w:p>
      <w:pPr>
        <w:spacing w:after="0" w:line="156" w:lineRule="exact"/>
        <w:rPr>
          <w:sz w:val="20"/>
          <w:szCs w:val="20"/>
          <w:color w:val="auto"/>
        </w:rPr>
      </w:pPr>
    </w:p>
    <w:p>
      <w:pPr>
        <w:ind w:left="301" w:hanging="301"/>
        <w:spacing w:after="0"/>
        <w:tabs>
          <w:tab w:leader="none" w:pos="301"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fourteen directors to hold office until the next Annual Meeting or until their successors are elected (Item 1 on the proxy card);</w:t>
      </w:r>
    </w:p>
    <w:p>
      <w:pPr>
        <w:spacing w:after="0" w:line="213" w:lineRule="exact"/>
        <w:rPr>
          <w:rFonts w:ascii="Arial" w:cs="Arial" w:eastAsia="Arial" w:hAnsi="Arial"/>
          <w:sz w:val="16"/>
          <w:szCs w:val="16"/>
          <w:color w:val="auto"/>
        </w:rPr>
      </w:pPr>
    </w:p>
    <w:p>
      <w:pPr>
        <w:ind w:left="301" w:hanging="301"/>
        <w:spacing w:after="0"/>
        <w:tabs>
          <w:tab w:leader="none" w:pos="301"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Arthur Andersen LLP as auditors of Abbott for 2002 (Item 2 on the proxy card); and</w:t>
      </w:r>
    </w:p>
    <w:p>
      <w:pPr>
        <w:spacing w:after="0" w:line="213" w:lineRule="exact"/>
        <w:rPr>
          <w:rFonts w:ascii="Arial" w:cs="Arial" w:eastAsia="Arial" w:hAnsi="Arial"/>
          <w:sz w:val="16"/>
          <w:szCs w:val="16"/>
          <w:color w:val="auto"/>
        </w:rPr>
      </w:pPr>
    </w:p>
    <w:p>
      <w:pPr>
        <w:ind w:left="301" w:right="1720" w:hanging="301"/>
        <w:spacing w:after="0" w:line="287" w:lineRule="auto"/>
        <w:tabs>
          <w:tab w:leader="none" w:pos="301"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including consideration of the shareholder proposal on HIV/AIDS-TB-Malaria, if such proposal is presented at the meeting (Item 3 on the proxy card).</w:t>
      </w:r>
    </w:p>
    <w:p>
      <w:pPr>
        <w:spacing w:after="0" w:line="152" w:lineRule="exact"/>
        <w:rPr>
          <w:sz w:val="20"/>
          <w:szCs w:val="20"/>
          <w:color w:val="auto"/>
        </w:rPr>
      </w:pPr>
    </w:p>
    <w:p>
      <w:pPr>
        <w:ind w:left="1" w:right="200"/>
        <w:spacing w:after="0" w:line="292" w:lineRule="auto"/>
        <w:rPr>
          <w:sz w:val="20"/>
          <w:szCs w:val="20"/>
          <w:color w:val="auto"/>
        </w:rPr>
      </w:pPr>
      <w:r>
        <w:rPr>
          <w:rFonts w:ascii="Arial" w:cs="Arial" w:eastAsia="Arial" w:hAnsi="Arial"/>
          <w:sz w:val="16"/>
          <w:szCs w:val="16"/>
          <w:b w:val="1"/>
          <w:bCs w:val="1"/>
          <w:color w:val="auto"/>
        </w:rPr>
        <w:t>The board of directors recommends that you vote FOR Items 1 and 2 on the proxy card. The board of directors recommends that you vote AGAINST Item 3 on the proxy card.</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5"/>
          <w:szCs w:val="15"/>
          <w:color w:val="auto"/>
        </w:rPr>
        <w:t>The close of business February 27, 2002, has been fixed as the record date for determining the shareholders entitled to receive notice of and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726249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1" w:right="20"/>
        <w:spacing w:after="0" w:line="322" w:lineRule="auto"/>
        <w:rPr>
          <w:sz w:val="20"/>
          <w:szCs w:val="20"/>
          <w:color w:val="auto"/>
        </w:rPr>
      </w:pPr>
      <w:r>
        <w:rPr>
          <w:rFonts w:ascii="Arial" w:cs="Arial" w:eastAsia="Arial" w:hAnsi="Arial"/>
          <w:sz w:val="15"/>
          <w:szCs w:val="15"/>
          <w:color w:val="auto"/>
        </w:rPr>
        <w:t>Admission to the meeting will be by admission card only. If you plan to attend, please complete and return the reservation form on the back cover, and an admission card will be sent to you. Due to space limitations, reservation forms must be received before April 19, 2002. An admission card admits no more than two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726249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36" w:lineRule="exact"/>
        <w:rPr>
          <w:sz w:val="20"/>
          <w:szCs w:val="20"/>
          <w:color w:val="auto"/>
        </w:rPr>
      </w:pPr>
    </w:p>
    <w:p>
      <w:pPr>
        <w:ind w:left="1"/>
        <w:spacing w:after="0"/>
        <w:rPr>
          <w:sz w:val="20"/>
          <w:szCs w:val="20"/>
          <w:color w:val="auto"/>
        </w:rPr>
      </w:pPr>
      <w:r>
        <w:rPr>
          <w:rFonts w:ascii="Arial" w:cs="Arial" w:eastAsia="Arial" w:hAnsi="Arial"/>
          <w:sz w:val="16"/>
          <w:szCs w:val="16"/>
          <w:color w:val="auto"/>
        </w:rPr>
        <w:t>By order of the board of directors.</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color w:val="auto"/>
        </w:rPr>
        <w:t>JOSE M. DE LASA</w:t>
      </w:r>
    </w:p>
    <w:p>
      <w:pPr>
        <w:spacing w:after="0" w:line="22"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Secretary</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6"/>
          <w:szCs w:val="16"/>
          <w:color w:val="auto"/>
        </w:rPr>
        <w:t>March 12,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6249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480695</wp:posOffset>
            </wp:positionV>
            <wp:extent cx="7262495" cy="67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2495" cy="6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
        <w:spacing w:after="0"/>
        <w:rPr>
          <w:sz w:val="20"/>
          <w:szCs w:val="20"/>
          <w:color w:val="auto"/>
        </w:rPr>
      </w:pPr>
      <w:r>
        <w:rPr>
          <w:rFonts w:ascii="Arial" w:cs="Arial" w:eastAsia="Arial" w:hAnsi="Arial"/>
          <w:sz w:val="30"/>
          <w:szCs w:val="30"/>
          <w:b w:val="1"/>
          <w:bCs w:val="1"/>
          <w:color w:val="2B85FF"/>
        </w:rPr>
        <w:t>Abbott Laboratories</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30"/>
          <w:szCs w:val="30"/>
          <w:b w:val="1"/>
          <w:bCs w:val="1"/>
          <w:color w:val="2B85FF"/>
        </w:rPr>
        <w:t>Proxy Statement</w:t>
      </w:r>
    </w:p>
    <w:p>
      <w:pPr>
        <w:spacing w:after="0" w:line="21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2B85FF"/>
        </w:rPr>
        <w:t>Solicitation of Proxies</w:t>
      </w:r>
    </w:p>
    <w:p>
      <w:pPr>
        <w:spacing w:after="0" w:line="217" w:lineRule="exact"/>
        <w:rPr>
          <w:sz w:val="20"/>
          <w:szCs w:val="20"/>
          <w:color w:val="auto"/>
        </w:rPr>
      </w:pPr>
    </w:p>
    <w:p>
      <w:pPr>
        <w:ind w:left="1" w:right="100"/>
        <w:spacing w:after="0" w:line="273" w:lineRule="auto"/>
        <w:rPr>
          <w:sz w:val="20"/>
          <w:szCs w:val="20"/>
          <w:color w:val="auto"/>
        </w:rPr>
      </w:pPr>
      <w:r>
        <w:rPr>
          <w:rFonts w:ascii="Arial" w:cs="Arial" w:eastAsia="Arial" w:hAnsi="Arial"/>
          <w:sz w:val="16"/>
          <w:szCs w:val="16"/>
          <w:color w:val="auto"/>
        </w:rPr>
        <w:t>The accompanying proxy is solicited on behalf of the board of directors for use at the Annual Meeting of Shareholders. The meeting will be held on April 26, 2002, at Abbott's headquarters, 100 Abbott Park Road, at the intersection of Route 137 and Waukegan Road, Lake County, Illinois. This proxy statement and the accompanying proxy card are being mailed to shareholders on or about March 12,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62495" cy="679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2495" cy="6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2B85FF"/>
        </w:rPr>
        <w:t>Information about the Annual Meeting</w:t>
      </w:r>
    </w:p>
    <w:p>
      <w:pPr>
        <w:spacing w:after="0" w:line="217" w:lineRule="exact"/>
        <w:rPr>
          <w:sz w:val="20"/>
          <w:szCs w:val="20"/>
          <w:color w:val="auto"/>
        </w:rPr>
      </w:pPr>
    </w:p>
    <w:p>
      <w:pPr>
        <w:ind w:left="1"/>
        <w:spacing w:after="0"/>
        <w:rPr>
          <w:sz w:val="20"/>
          <w:szCs w:val="20"/>
          <w:color w:val="auto"/>
        </w:rPr>
      </w:pPr>
      <w:r>
        <w:rPr>
          <w:rFonts w:ascii="Arial" w:cs="Arial" w:eastAsia="Arial" w:hAnsi="Arial"/>
          <w:sz w:val="16"/>
          <w:szCs w:val="16"/>
          <w:color w:val="auto"/>
        </w:rPr>
        <w:t>Who Can Vote</w:t>
      </w:r>
    </w:p>
    <w:p>
      <w:pPr>
        <w:spacing w:after="0" w:line="213" w:lineRule="exact"/>
        <w:rPr>
          <w:sz w:val="20"/>
          <w:szCs w:val="20"/>
          <w:color w:val="auto"/>
        </w:rPr>
      </w:pPr>
    </w:p>
    <w:p>
      <w:pPr>
        <w:ind w:left="1" w:right="20"/>
        <w:spacing w:after="0" w:line="273" w:lineRule="auto"/>
        <w:rPr>
          <w:sz w:val="20"/>
          <w:szCs w:val="20"/>
          <w:color w:val="auto"/>
        </w:rPr>
      </w:pPr>
      <w:r>
        <w:rPr>
          <w:rFonts w:ascii="Arial" w:cs="Arial" w:eastAsia="Arial" w:hAnsi="Arial"/>
          <w:sz w:val="16"/>
          <w:szCs w:val="16"/>
          <w:color w:val="auto"/>
        </w:rPr>
        <w:t>Shareholders of record at the close of business on February 27, 2002 will be entitled to notice of and to vote at the Annual Meeting. As of January 31, 2002, Abbott had 1,556,593,143 outstanding common shares, which are Abbott's only outstanding voting securities. All shareholders have cumulative voting rights in the election of directors and one vote per share on all other matters.</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6"/>
          <w:szCs w:val="16"/>
          <w:color w:val="auto"/>
        </w:rPr>
        <w:t>Cumulative Voting</w:t>
      </w:r>
    </w:p>
    <w:p>
      <w:pPr>
        <w:spacing w:after="0" w:line="213" w:lineRule="exact"/>
        <w:rPr>
          <w:sz w:val="20"/>
          <w:szCs w:val="20"/>
          <w:color w:val="auto"/>
        </w:rPr>
      </w:pPr>
    </w:p>
    <w:p>
      <w:pPr>
        <w:ind w:left="1" w:right="20"/>
        <w:spacing w:after="0" w:line="273" w:lineRule="auto"/>
        <w:rPr>
          <w:sz w:val="20"/>
          <w:szCs w:val="20"/>
          <w:color w:val="auto"/>
        </w:rPr>
      </w:pPr>
      <w:r>
        <w:rPr>
          <w:rFonts w:ascii="Arial" w:cs="Arial" w:eastAsia="Arial" w:hAnsi="Arial"/>
          <w:sz w:val="16"/>
          <w:szCs w:val="16"/>
          <w:color w:val="auto"/>
        </w:rPr>
        <w:t>Cumulative voting allows a shareholder to multiply the number of shares owned by the number of directors to be elected and to cast the total for one nominee or distribute the votes among the nominees as the shareholder desires. Nominees who receive the greatest number of votes will be elected. If you wish to cumulate your votes, you must sign and mail in your proxy card or attend the Annual Meeting.</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6"/>
          <w:szCs w:val="16"/>
          <w:color w:val="auto"/>
        </w:rPr>
        <w:t>Voting by Proxy</w:t>
      </w:r>
    </w:p>
    <w:p>
      <w:pPr>
        <w:spacing w:after="0" w:line="213" w:lineRule="exact"/>
        <w:rPr>
          <w:sz w:val="20"/>
          <w:szCs w:val="20"/>
          <w:color w:val="auto"/>
        </w:rPr>
      </w:pPr>
    </w:p>
    <w:p>
      <w:pPr>
        <w:ind w:left="1"/>
        <w:spacing w:after="0" w:line="273" w:lineRule="auto"/>
        <w:rPr>
          <w:sz w:val="20"/>
          <w:szCs w:val="20"/>
          <w:color w:val="auto"/>
        </w:rPr>
      </w:pPr>
      <w:r>
        <w:rPr>
          <w:rFonts w:ascii="Arial" w:cs="Arial" w:eastAsia="Arial" w:hAnsi="Arial"/>
          <w:sz w:val="16"/>
          <w:szCs w:val="16"/>
          <w:color w:val="auto"/>
        </w:rPr>
        <w:t>All of Abbott's shareholders may vote by mail or at the Annual Meeting. The bylaws provide that a shareholder may authorize no more than two persons as proxies to attend and vote at the meeting. Most of Abbott's shareholders may also vote their shares by telephone or the Internet. If you vote by telephone or the Internet, you do not need to return your proxy card. The instructions for voting by telephone or the Internet can be found with your proxy card.</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6"/>
          <w:szCs w:val="16"/>
          <w:color w:val="auto"/>
        </w:rPr>
        <w:t>Revoking a Proxy</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color w:val="auto"/>
        </w:rPr>
        <w:t>You may revoke your proxy by voting in person at the Annual Meeting or, at any time prior to the meeting:</w:t>
      </w:r>
    </w:p>
    <w:p>
      <w:pPr>
        <w:spacing w:after="0" w:line="213" w:lineRule="exact"/>
        <w:rPr>
          <w:sz w:val="20"/>
          <w:szCs w:val="20"/>
          <w:color w:val="auto"/>
        </w:rPr>
      </w:pPr>
    </w:p>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by delivering a written notice to the secretary of Abbott,</w:t>
      </w:r>
    </w:p>
    <w:p>
      <w:pPr>
        <w:sectPr>
          <w:pgSz w:w="11900" w:h="16838" w:orient="portrait"/>
          <w:cols w:equalWidth="0" w:num="1">
            <w:col w:w="11421"/>
          </w:cols>
          <w:pgMar w:left="239" w:top="101" w:right="239" w:bottom="0" w:gutter="0" w:footer="0" w:header="0"/>
        </w:sectPr>
      </w:pPr>
    </w:p>
    <w:bookmarkStart w:id="3" w:name="page4"/>
    <w:bookmarkEnd w:id="3"/>
    <w:p>
      <w:pPr>
        <w:ind w:left="221" w:hanging="221"/>
        <w:spacing w:after="0"/>
        <w:tabs>
          <w:tab w:leader="none" w:pos="221" w:val="left"/>
        </w:tabs>
        <w:numPr>
          <w:ilvl w:val="0"/>
          <w:numId w:val="5"/>
        </w:numPr>
        <w:rPr>
          <w:rFonts w:ascii="Arial" w:cs="Arial" w:eastAsia="Arial" w:hAnsi="Arial"/>
          <w:sz w:val="16"/>
          <w:szCs w:val="16"/>
          <w:color w:val="auto"/>
        </w:rPr>
      </w:pPr>
      <w:r>
        <w:rPr>
          <w:rFonts w:ascii="Arial" w:cs="Arial" w:eastAsia="Arial" w:hAnsi="Arial"/>
          <w:sz w:val="16"/>
          <w:szCs w:val="16"/>
          <w:color w:val="auto"/>
        </w:rPr>
        <w:t>by delivering an authorized proxy with a later date, or</w:t>
      </w:r>
    </w:p>
    <w:p>
      <w:pPr>
        <w:spacing w:after="0" w:line="213" w:lineRule="exact"/>
        <w:rPr>
          <w:rFonts w:ascii="Arial" w:cs="Arial" w:eastAsia="Arial" w:hAnsi="Arial"/>
          <w:sz w:val="16"/>
          <w:szCs w:val="16"/>
          <w:color w:val="auto"/>
        </w:rPr>
      </w:pPr>
    </w:p>
    <w:p>
      <w:pPr>
        <w:ind w:left="221" w:hanging="221"/>
        <w:spacing w:after="0"/>
        <w:tabs>
          <w:tab w:leader="none" w:pos="221" w:val="left"/>
        </w:tabs>
        <w:numPr>
          <w:ilvl w:val="0"/>
          <w:numId w:val="5"/>
        </w:numPr>
        <w:rPr>
          <w:rFonts w:ascii="Arial" w:cs="Arial" w:eastAsia="Arial" w:hAnsi="Arial"/>
          <w:sz w:val="16"/>
          <w:szCs w:val="16"/>
          <w:color w:val="auto"/>
        </w:rPr>
      </w:pPr>
      <w:r>
        <w:rPr>
          <w:rFonts w:ascii="Arial" w:cs="Arial" w:eastAsia="Arial" w:hAnsi="Arial"/>
          <w:sz w:val="16"/>
          <w:szCs w:val="16"/>
          <w:color w:val="auto"/>
        </w:rPr>
        <w:t>by voting by telephone or the Internet after you have given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
        <w:spacing w:after="0"/>
        <w:rPr>
          <w:sz w:val="20"/>
          <w:szCs w:val="20"/>
          <w:color w:val="auto"/>
        </w:rPr>
      </w:pPr>
      <w:r>
        <w:rPr>
          <w:rFonts w:ascii="Arial" w:cs="Arial" w:eastAsia="Arial" w:hAnsi="Arial"/>
          <w:sz w:val="16"/>
          <w:szCs w:val="16"/>
          <w:color w:val="auto"/>
        </w:rPr>
        <w:t>1</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color w:val="auto"/>
        </w:rPr>
        <w:t>Discretionary Voting Authority</w:t>
      </w:r>
    </w:p>
    <w:p>
      <w:pPr>
        <w:spacing w:after="0" w:line="213" w:lineRule="exact"/>
        <w:rPr>
          <w:sz w:val="20"/>
          <w:szCs w:val="20"/>
          <w:color w:val="auto"/>
        </w:rPr>
      </w:pPr>
    </w:p>
    <w:p>
      <w:pPr>
        <w:ind w:left="1" w:right="20"/>
        <w:spacing w:after="0" w:line="318" w:lineRule="auto"/>
        <w:rPr>
          <w:sz w:val="20"/>
          <w:szCs w:val="20"/>
          <w:color w:val="auto"/>
        </w:rPr>
      </w:pPr>
      <w:r>
        <w:rPr>
          <w:rFonts w:ascii="Arial" w:cs="Arial" w:eastAsia="Arial" w:hAnsi="Arial"/>
          <w:sz w:val="14"/>
          <w:szCs w:val="14"/>
          <w:color w:val="auto"/>
        </w:rPr>
        <w:t>Unless authority is withheld in accordance with the instructions on the proxy, the persons named in the proxy will vote the shares covered by proxies they receive to elect the 14 nominees named in Item 1 on the proxy card. Should a nominee become unavailable to serve, the shares will be voted for a substitute designated by the board of directors, or for fewer than 14 nominees if, in the judgment of the proxy holders, such action is necessary or desirable. The persons named in the proxy may also decide to vote shares cumulatively so that one or more of the nominees may receive fewer votes than the other nominees (or no votes at all), although they have no present intention of doing so.</w:t>
      </w:r>
    </w:p>
    <w:p>
      <w:pPr>
        <w:spacing w:after="0" w:line="140" w:lineRule="exact"/>
        <w:rPr>
          <w:sz w:val="20"/>
          <w:szCs w:val="20"/>
          <w:color w:val="auto"/>
        </w:rPr>
      </w:pPr>
    </w:p>
    <w:p>
      <w:pPr>
        <w:ind w:left="1" w:right="40"/>
        <w:spacing w:after="0" w:line="273" w:lineRule="auto"/>
        <w:rPr>
          <w:sz w:val="20"/>
          <w:szCs w:val="20"/>
          <w:color w:val="auto"/>
        </w:rPr>
      </w:pPr>
      <w:r>
        <w:rPr>
          <w:rFonts w:ascii="Arial" w:cs="Arial" w:eastAsia="Arial" w:hAnsi="Arial"/>
          <w:sz w:val="16"/>
          <w:szCs w:val="16"/>
          <w:color w:val="auto"/>
        </w:rPr>
        <w:t>Where a shareholder has specified a choice for or against the ratification of the appointment of Arthur Andersen LLP as auditors, or the approval of the shareholder proposal, or where the shareholder has abstained on these matters, the shares represented by the proxy will be voted (or not voted) as specified. Where no choice has been specified, the proxy will be voted FOR ratification of Arthur Andersen LLP as auditors and AGAINST the shareholder proposal.</w:t>
      </w:r>
    </w:p>
    <w:p>
      <w:pPr>
        <w:spacing w:after="0" w:line="166" w:lineRule="exact"/>
        <w:rPr>
          <w:sz w:val="20"/>
          <w:szCs w:val="20"/>
          <w:color w:val="auto"/>
        </w:rPr>
      </w:pPr>
    </w:p>
    <w:p>
      <w:pPr>
        <w:jc w:val="both"/>
        <w:ind w:left="1" w:right="220"/>
        <w:spacing w:after="0" w:line="273" w:lineRule="auto"/>
        <w:rPr>
          <w:sz w:val="20"/>
          <w:szCs w:val="20"/>
          <w:color w:val="auto"/>
        </w:rPr>
      </w:pPr>
      <w:r>
        <w:rPr>
          <w:rFonts w:ascii="Arial" w:cs="Arial" w:eastAsia="Arial" w:hAnsi="Arial"/>
          <w:sz w:val="16"/>
          <w:szCs w:val="16"/>
          <w:color w:val="auto"/>
        </w:rPr>
        <w:t>With the exception of matters omitted from this proxy statement pursuant to the rules of the Securities and Exchange Commission, the board of directors is not aware of any other issue which may properly be brought before the meeting. If other matters are properly brought before the meeting, the accompanying proxy will be voted in accordance with the judgment of the proxy holders.</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6"/>
          <w:szCs w:val="16"/>
          <w:color w:val="auto"/>
        </w:rPr>
        <w:t>Quorum and Vote Required to Approve Each Item on the Proxy</w:t>
      </w:r>
    </w:p>
    <w:p>
      <w:pPr>
        <w:spacing w:after="0" w:line="213" w:lineRule="exact"/>
        <w:rPr>
          <w:sz w:val="20"/>
          <w:szCs w:val="20"/>
          <w:color w:val="auto"/>
        </w:rPr>
      </w:pPr>
    </w:p>
    <w:p>
      <w:pPr>
        <w:ind w:left="1" w:right="300"/>
        <w:spacing w:after="0" w:line="362" w:lineRule="auto"/>
        <w:rPr>
          <w:sz w:val="20"/>
          <w:szCs w:val="20"/>
          <w:color w:val="auto"/>
        </w:rPr>
      </w:pPr>
      <w:r>
        <w:rPr>
          <w:rFonts w:ascii="Arial" w:cs="Arial" w:eastAsia="Arial" w:hAnsi="Arial"/>
          <w:sz w:val="14"/>
          <w:szCs w:val="14"/>
          <w:color w:val="auto"/>
        </w:rPr>
        <w:t>A majority of the outstanding shares entitled to vote on a matter, represented in person or by proxy, constitutes a quorum for consideration of that matter at the meeting. The affirmative vote of a majority of the shares represented at the meeting and entitled to vote on a matter shall be the act of the shareholders with respect to that matter.</w:t>
      </w:r>
    </w:p>
    <w:p>
      <w:pPr>
        <w:spacing w:after="0" w:line="110" w:lineRule="exact"/>
        <w:rPr>
          <w:sz w:val="20"/>
          <w:szCs w:val="20"/>
          <w:color w:val="auto"/>
        </w:rPr>
      </w:pPr>
    </w:p>
    <w:p>
      <w:pPr>
        <w:ind w:left="1"/>
        <w:spacing w:after="0"/>
        <w:rPr>
          <w:sz w:val="20"/>
          <w:szCs w:val="20"/>
          <w:color w:val="auto"/>
        </w:rPr>
      </w:pPr>
      <w:r>
        <w:rPr>
          <w:rFonts w:ascii="Arial" w:cs="Arial" w:eastAsia="Arial" w:hAnsi="Arial"/>
          <w:sz w:val="16"/>
          <w:szCs w:val="16"/>
          <w:color w:val="auto"/>
        </w:rPr>
        <w:t>Effect of Broker Non-Votes and Abstentions</w:t>
      </w:r>
    </w:p>
    <w:p>
      <w:pPr>
        <w:spacing w:after="0" w:line="213" w:lineRule="exact"/>
        <w:rPr>
          <w:sz w:val="20"/>
          <w:szCs w:val="20"/>
          <w:color w:val="auto"/>
        </w:rPr>
      </w:pPr>
    </w:p>
    <w:p>
      <w:pPr>
        <w:ind w:left="1"/>
        <w:spacing w:after="0" w:line="264" w:lineRule="auto"/>
        <w:rPr>
          <w:sz w:val="20"/>
          <w:szCs w:val="20"/>
          <w:color w:val="auto"/>
        </w:rPr>
      </w:pPr>
      <w:r>
        <w:rPr>
          <w:rFonts w:ascii="Arial" w:cs="Arial" w:eastAsia="Arial" w:hAnsi="Arial"/>
          <w:sz w:val="16"/>
          <w:szCs w:val="16"/>
          <w:color w:val="auto"/>
        </w:rPr>
        <w:t>A proxy submitted by an institution such as a broker or bank that holds shares for the account of a beneficial owner may indicate that all or a portion of the shares represented by that proxy are not being voted with respect to a particular matter. This could occur, for example, when the broker or bank is not permitted to vote those shares in the absence of instructions from the beneficial owner of the stock. These "non-voted shares" will be considered shares not present and, therefore, not entitled to vote on that matter, although these shares may be considered present and entitled to vote for other purposes. Non-voted shares will not affect the determination of the outcome of the vote on any matter to be decided at the meeting. Shares represented by proxies which are present and entitled to vote on a matter but which have elected to abstain from voting on that matter will have the effect of votes against that matter.</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6"/>
          <w:szCs w:val="16"/>
          <w:color w:val="auto"/>
        </w:rPr>
        <w:t>Inspectors of Election</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5"/>
          <w:szCs w:val="15"/>
          <w:color w:val="auto"/>
        </w:rPr>
        <w:t>The inspectors of election and the tabulators of all proxies, ballots, and voting tabulations that identify shareholders are independent and are not Abbott employees.</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6"/>
          <w:szCs w:val="16"/>
          <w:color w:val="auto"/>
        </w:rPr>
        <w:t>Cost of Soliciting Proxies</w:t>
      </w:r>
    </w:p>
    <w:p>
      <w:pPr>
        <w:spacing w:after="0" w:line="213" w:lineRule="exact"/>
        <w:rPr>
          <w:sz w:val="20"/>
          <w:szCs w:val="20"/>
          <w:color w:val="auto"/>
        </w:rPr>
      </w:pPr>
    </w:p>
    <w:p>
      <w:pPr>
        <w:ind w:left="1" w:right="40"/>
        <w:spacing w:after="0" w:line="287" w:lineRule="auto"/>
        <w:rPr>
          <w:sz w:val="20"/>
          <w:szCs w:val="20"/>
          <w:color w:val="auto"/>
        </w:rPr>
      </w:pPr>
      <w:r>
        <w:rPr>
          <w:rFonts w:ascii="Arial" w:cs="Arial" w:eastAsia="Arial" w:hAnsi="Arial"/>
          <w:sz w:val="16"/>
          <w:szCs w:val="16"/>
          <w:color w:val="auto"/>
        </w:rPr>
        <w:t>Abbott will bear the cost of making solicitations from its shareholders and will reimburse banks and brokerage firms for out-of-pocket expenses incurred in connection with this solicitation. Proxies may be solicited by mail or in person by directors, officers, or employees of Abbott and its subsidiaries.</w:t>
      </w:r>
    </w:p>
    <w:p>
      <w:pPr>
        <w:spacing w:after="0" w:line="156" w:lineRule="exact"/>
        <w:rPr>
          <w:sz w:val="20"/>
          <w:szCs w:val="20"/>
          <w:color w:val="auto"/>
        </w:rPr>
      </w:pPr>
    </w:p>
    <w:p>
      <w:pPr>
        <w:ind w:left="1" w:right="60"/>
        <w:spacing w:after="0" w:line="287" w:lineRule="auto"/>
        <w:rPr>
          <w:sz w:val="20"/>
          <w:szCs w:val="20"/>
          <w:color w:val="auto"/>
        </w:rPr>
      </w:pPr>
      <w:r>
        <w:rPr>
          <w:rFonts w:ascii="Arial" w:cs="Arial" w:eastAsia="Arial" w:hAnsi="Arial"/>
          <w:sz w:val="16"/>
          <w:szCs w:val="16"/>
          <w:color w:val="auto"/>
        </w:rPr>
        <w:t>Abbott has retained Georgeson Shareholder Communications Inc. to aid in the solicitation of proxies, at an estimated cost of $17,500 plus reimbursement for reasonable out-of-pocket expenses.</w:t>
      </w:r>
    </w:p>
    <w:p>
      <w:pPr>
        <w:spacing w:after="0" w:line="156" w:lineRule="exact"/>
        <w:rPr>
          <w:sz w:val="20"/>
          <w:szCs w:val="20"/>
          <w:color w:val="auto"/>
        </w:rPr>
      </w:pPr>
    </w:p>
    <w:p>
      <w:pPr>
        <w:ind w:left="1"/>
        <w:spacing w:after="0"/>
        <w:rPr>
          <w:sz w:val="20"/>
          <w:szCs w:val="20"/>
          <w:color w:val="auto"/>
        </w:rPr>
      </w:pPr>
      <w:r>
        <w:rPr>
          <w:rFonts w:ascii="Arial" w:cs="Arial" w:eastAsia="Arial" w:hAnsi="Arial"/>
          <w:sz w:val="16"/>
          <w:szCs w:val="16"/>
          <w:color w:val="auto"/>
        </w:rPr>
        <w:t>Confidential Voting</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5"/>
          <w:szCs w:val="15"/>
          <w:color w:val="auto"/>
        </w:rPr>
        <w:t>It is Abbott's policy that all proxies, ballots, and voting tabulations that reveal how a particular shareholder has voted be kept confidential and not be disclosed, except:</w:t>
      </w:r>
    </w:p>
    <w:p>
      <w:pPr>
        <w:spacing w:after="0" w:line="225" w:lineRule="exact"/>
        <w:rPr>
          <w:sz w:val="20"/>
          <w:szCs w:val="20"/>
          <w:color w:val="auto"/>
        </w:rPr>
      </w:pPr>
    </w:p>
    <w:p>
      <w:pPr>
        <w:ind w:left="301" w:hanging="301"/>
        <w:spacing w:after="0"/>
        <w:tabs>
          <w:tab w:leader="none" w:pos="301" w:val="left"/>
        </w:tabs>
        <w:numPr>
          <w:ilvl w:val="0"/>
          <w:numId w:val="6"/>
        </w:numPr>
        <w:rPr>
          <w:rFonts w:ascii="Arial" w:cs="Arial" w:eastAsia="Arial" w:hAnsi="Arial"/>
          <w:sz w:val="16"/>
          <w:szCs w:val="16"/>
          <w:color w:val="auto"/>
        </w:rPr>
      </w:pPr>
      <w:r>
        <w:rPr>
          <w:rFonts w:ascii="Arial" w:cs="Arial" w:eastAsia="Arial" w:hAnsi="Arial"/>
          <w:sz w:val="16"/>
          <w:szCs w:val="16"/>
          <w:color w:val="auto"/>
        </w:rPr>
        <w:t>where disclosure may be required by law or regulation,</w:t>
      </w:r>
    </w:p>
    <w:p>
      <w:pPr>
        <w:spacing w:after="0" w:line="213" w:lineRule="exact"/>
        <w:rPr>
          <w:rFonts w:ascii="Arial" w:cs="Arial" w:eastAsia="Arial" w:hAnsi="Arial"/>
          <w:sz w:val="16"/>
          <w:szCs w:val="16"/>
          <w:color w:val="auto"/>
        </w:rPr>
      </w:pPr>
    </w:p>
    <w:p>
      <w:pPr>
        <w:ind w:left="301" w:hanging="301"/>
        <w:spacing w:after="0"/>
        <w:tabs>
          <w:tab w:leader="none" w:pos="301" w:val="left"/>
        </w:tabs>
        <w:numPr>
          <w:ilvl w:val="0"/>
          <w:numId w:val="6"/>
        </w:numPr>
        <w:rPr>
          <w:rFonts w:ascii="Arial" w:cs="Arial" w:eastAsia="Arial" w:hAnsi="Arial"/>
          <w:sz w:val="16"/>
          <w:szCs w:val="16"/>
          <w:color w:val="auto"/>
        </w:rPr>
      </w:pPr>
      <w:r>
        <w:rPr>
          <w:rFonts w:ascii="Arial" w:cs="Arial" w:eastAsia="Arial" w:hAnsi="Arial"/>
          <w:sz w:val="16"/>
          <w:szCs w:val="16"/>
          <w:color w:val="auto"/>
        </w:rPr>
        <w:t>where disclosure may be necessary in order for Abbott to assert or defend claims,</w:t>
      </w:r>
    </w:p>
    <w:p>
      <w:pPr>
        <w:spacing w:after="0" w:line="213" w:lineRule="exact"/>
        <w:rPr>
          <w:rFonts w:ascii="Arial" w:cs="Arial" w:eastAsia="Arial" w:hAnsi="Arial"/>
          <w:sz w:val="16"/>
          <w:szCs w:val="16"/>
          <w:color w:val="auto"/>
        </w:rPr>
      </w:pPr>
    </w:p>
    <w:p>
      <w:pPr>
        <w:ind w:left="301" w:hanging="301"/>
        <w:spacing w:after="0"/>
        <w:tabs>
          <w:tab w:leader="none" w:pos="301" w:val="left"/>
        </w:tabs>
        <w:numPr>
          <w:ilvl w:val="0"/>
          <w:numId w:val="6"/>
        </w:numPr>
        <w:rPr>
          <w:rFonts w:ascii="Arial" w:cs="Arial" w:eastAsia="Arial" w:hAnsi="Arial"/>
          <w:sz w:val="16"/>
          <w:szCs w:val="16"/>
          <w:color w:val="auto"/>
        </w:rPr>
      </w:pPr>
      <w:r>
        <w:rPr>
          <w:rFonts w:ascii="Arial" w:cs="Arial" w:eastAsia="Arial" w:hAnsi="Arial"/>
          <w:sz w:val="16"/>
          <w:szCs w:val="16"/>
          <w:color w:val="auto"/>
        </w:rPr>
        <w:t>where a shareholder provides comments with a proxy,</w:t>
      </w:r>
    </w:p>
    <w:p>
      <w:pPr>
        <w:spacing w:after="0" w:line="213" w:lineRule="exact"/>
        <w:rPr>
          <w:rFonts w:ascii="Arial" w:cs="Arial" w:eastAsia="Arial" w:hAnsi="Arial"/>
          <w:sz w:val="16"/>
          <w:szCs w:val="16"/>
          <w:color w:val="auto"/>
        </w:rPr>
      </w:pPr>
    </w:p>
    <w:p>
      <w:pPr>
        <w:ind w:left="301" w:hanging="301"/>
        <w:spacing w:after="0"/>
        <w:tabs>
          <w:tab w:leader="none" w:pos="301" w:val="left"/>
        </w:tabs>
        <w:numPr>
          <w:ilvl w:val="0"/>
          <w:numId w:val="6"/>
        </w:numPr>
        <w:rPr>
          <w:rFonts w:ascii="Arial" w:cs="Arial" w:eastAsia="Arial" w:hAnsi="Arial"/>
          <w:sz w:val="16"/>
          <w:szCs w:val="16"/>
          <w:color w:val="auto"/>
        </w:rPr>
      </w:pPr>
      <w:r>
        <w:rPr>
          <w:rFonts w:ascii="Arial" w:cs="Arial" w:eastAsia="Arial" w:hAnsi="Arial"/>
          <w:sz w:val="16"/>
          <w:szCs w:val="16"/>
          <w:color w:val="auto"/>
        </w:rPr>
        <w:t>where a shareholder expressly requests disclosure,</w:t>
      </w:r>
    </w:p>
    <w:p>
      <w:pPr>
        <w:spacing w:after="0" w:line="213" w:lineRule="exact"/>
        <w:rPr>
          <w:rFonts w:ascii="Arial" w:cs="Arial" w:eastAsia="Arial" w:hAnsi="Arial"/>
          <w:sz w:val="16"/>
          <w:szCs w:val="16"/>
          <w:color w:val="auto"/>
        </w:rPr>
      </w:pPr>
    </w:p>
    <w:p>
      <w:pPr>
        <w:ind w:left="301" w:hanging="301"/>
        <w:spacing w:after="0"/>
        <w:tabs>
          <w:tab w:leader="none" w:pos="301"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allow the inspectors of election to certify the results of a vote, or</w:t>
      </w:r>
    </w:p>
    <w:p>
      <w:pPr>
        <w:spacing w:after="0" w:line="213" w:lineRule="exact"/>
        <w:rPr>
          <w:rFonts w:ascii="Arial" w:cs="Arial" w:eastAsia="Arial" w:hAnsi="Arial"/>
          <w:sz w:val="16"/>
          <w:szCs w:val="16"/>
          <w:color w:val="auto"/>
        </w:rPr>
      </w:pPr>
    </w:p>
    <w:p>
      <w:pPr>
        <w:ind w:left="301" w:hanging="301"/>
        <w:spacing w:after="0"/>
        <w:tabs>
          <w:tab w:leader="none" w:pos="301"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other limited circumstances, such as a contested election or proxy solicitation not approved and recommended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62495"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17" w:lineRule="exact"/>
        <w:rPr>
          <w:sz w:val="20"/>
          <w:szCs w:val="20"/>
          <w:color w:val="auto"/>
        </w:rPr>
      </w:pPr>
    </w:p>
    <w:p>
      <w:pPr>
        <w:ind w:left="11341"/>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7262495" cy="679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2495" cy="6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2B85FF"/>
        </w:rPr>
        <w:t>Information Concerning Security Ownership</w:t>
      </w:r>
    </w:p>
    <w:p>
      <w:pPr>
        <w:spacing w:after="0" w:line="217" w:lineRule="exact"/>
        <w:rPr>
          <w:sz w:val="20"/>
          <w:szCs w:val="20"/>
          <w:color w:val="auto"/>
        </w:rPr>
      </w:pPr>
    </w:p>
    <w:p>
      <w:pPr>
        <w:ind w:left="1"/>
        <w:spacing w:after="0" w:line="282" w:lineRule="auto"/>
        <w:rPr>
          <w:sz w:val="20"/>
          <w:szCs w:val="20"/>
          <w:color w:val="auto"/>
        </w:rPr>
      </w:pPr>
      <w:r>
        <w:rPr>
          <w:rFonts w:ascii="Arial" w:cs="Arial" w:eastAsia="Arial" w:hAnsi="Arial"/>
          <w:sz w:val="15"/>
          <w:szCs w:val="15"/>
          <w:color w:val="auto"/>
        </w:rPr>
        <w:t>On January 31, 2002, the Abbott Laboratories Stock Retirement Trust, c/o Abbott Laboratories, 100 Abbott Park Road, Abbott Park, Illinois 60064-6400, held 90,459,030 of Abbott's common shares (approximately 5.8 percent of the outstanding common shares). These shares were held for the individual accounts of approximately 37,600 employees and other plan participants who participate in the Abbott Laboratories Stock Retirement Plan. The Stock Retirement Trust is administered by both a trustee and three co-trustees. The trustee of the Trust is Putnam Fiduciary Trust Company. The co-trustees are T. C. Freyman, G. W. Linder, and T. M. Wascoe, officers of Abbott. The voting power with respect to the shares owned by the Trust is held by and shared between the co-trustees and the participants. The co-trustees must solicit voting instructions from the participants and follow the voting instructions they receive. The co-trustees may use their own discretion with respect to those shares for which no voting instructions are received. The individual participants have investment power over these shares, as provided by the terms of the Trust. The Trust Agreement is of unlimited duration. The co-trustees are also fiduciaries for certain other employee benefit trusts maintained by Abbott and have shared voting and/or investment power with respect to the 3,153,928 common shares (approximately .2 percent of the outstanding shares of Abbott) held by those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106045</wp:posOffset>
            </wp:positionV>
            <wp:extent cx="7262495" cy="679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2495" cy="67945"/>
                    </a:xfrm>
                    <a:prstGeom prst="rect">
                      <a:avLst/>
                    </a:prstGeom>
                    <a:noFill/>
                  </pic:spPr>
                </pic:pic>
              </a:graphicData>
            </a:graphic>
          </wp:anchor>
        </w:drawing>
      </w:r>
    </w:p>
    <w:p>
      <w:pPr>
        <w:sectPr>
          <w:pgSz w:w="11900" w:h="16838" w:orient="portrait"/>
          <w:cols w:equalWidth="0" w:num="1">
            <w:col w:w="11421"/>
          </w:cols>
          <w:pgMar w:left="239" w:top="131" w:right="239" w:bottom="172"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2B85FF"/>
        </w:rPr>
        <w:t>Information Concerning Nominees for Directors (Item 1 on Proxy Card)</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Fourteen directors are to be elected to hold office until the next Annual Meeting or until their successors are elected. All of the nominees are currently serving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146050</wp:posOffset>
            </wp:positionV>
            <wp:extent cx="726249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2077085" cy="679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77085" cy="6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 for Election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346075</wp:posOffset>
            </wp:positionV>
            <wp:extent cx="726249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760"/>
        <w:spacing w:after="0"/>
        <w:tabs>
          <w:tab w:leader="none" w:pos="5440" w:val="left"/>
          <w:tab w:leader="none" w:pos="7240" w:val="left"/>
        </w:tabs>
        <w:rPr>
          <w:sz w:val="20"/>
          <w:szCs w:val="20"/>
          <w:color w:val="auto"/>
        </w:rPr>
      </w:pPr>
      <w:r>
        <w:rPr>
          <w:rFonts w:ascii="Arial" w:cs="Arial" w:eastAsia="Arial" w:hAnsi="Arial"/>
          <w:sz w:val="16"/>
          <w:szCs w:val="16"/>
          <w:b w:val="1"/>
          <w:bCs w:val="1"/>
          <w:color w:val="2B85FF"/>
        </w:rPr>
        <w:t>Roxanne S. Austin</w:t>
      </w:r>
      <w:r>
        <w:rPr>
          <w:sz w:val="20"/>
          <w:szCs w:val="20"/>
          <w:color w:val="auto"/>
        </w:rPr>
        <w:tab/>
      </w:r>
      <w:r>
        <w:rPr>
          <w:rFonts w:ascii="Arial" w:cs="Arial" w:eastAsia="Arial" w:hAnsi="Arial"/>
          <w:sz w:val="16"/>
          <w:szCs w:val="16"/>
          <w:b w:val="1"/>
          <w:bCs w:val="1"/>
          <w:color w:val="2B85FF"/>
        </w:rPr>
        <w:t>Age 41</w:t>
      </w:r>
      <w:r>
        <w:rPr>
          <w:sz w:val="20"/>
          <w:szCs w:val="20"/>
          <w:color w:val="auto"/>
        </w:rPr>
        <w:tab/>
      </w:r>
      <w:r>
        <w:rPr>
          <w:rFonts w:ascii="Arial" w:cs="Arial" w:eastAsia="Arial" w:hAnsi="Arial"/>
          <w:sz w:val="14"/>
          <w:szCs w:val="14"/>
          <w:b w:val="1"/>
          <w:bCs w:val="1"/>
          <w:color w:val="2B85FF"/>
        </w:rPr>
        <w:t>Director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1040130" cy="1040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40130" cy="1040130"/>
                    </a:xfrm>
                    <a:prstGeom prst="rect">
                      <a:avLst/>
                    </a:prstGeom>
                    <a:noFill/>
                  </pic:spPr>
                </pic:pic>
              </a:graphicData>
            </a:graphic>
          </wp:anchor>
        </w:drawing>
      </w:r>
    </w:p>
    <w:p>
      <w:pPr>
        <w:spacing w:after="0" w:line="197" w:lineRule="exact"/>
        <w:rPr>
          <w:sz w:val="20"/>
          <w:szCs w:val="20"/>
          <w:color w:val="auto"/>
        </w:rPr>
      </w:pPr>
    </w:p>
    <w:p>
      <w:pPr>
        <w:ind w:left="2760" w:right="3580"/>
        <w:spacing w:after="0" w:line="287" w:lineRule="auto"/>
        <w:rPr>
          <w:sz w:val="20"/>
          <w:szCs w:val="20"/>
          <w:color w:val="auto"/>
        </w:rPr>
      </w:pPr>
      <w:r>
        <w:rPr>
          <w:rFonts w:ascii="Arial" w:cs="Arial" w:eastAsia="Arial" w:hAnsi="Arial"/>
          <w:sz w:val="16"/>
          <w:szCs w:val="16"/>
          <w:i w:val="1"/>
          <w:iCs w:val="1"/>
          <w:color w:val="2B85FF"/>
        </w:rPr>
        <w:t>President and Chief Operating Officer, DIRECTV, Inc., El Segundo, California (Digital Satellite Television Service Provider)</w:t>
      </w:r>
    </w:p>
    <w:p>
      <w:pPr>
        <w:spacing w:after="0" w:line="152" w:lineRule="exact"/>
        <w:rPr>
          <w:sz w:val="20"/>
          <w:szCs w:val="20"/>
          <w:color w:val="auto"/>
        </w:rPr>
      </w:pPr>
    </w:p>
    <w:p>
      <w:pPr>
        <w:ind w:left="2760" w:right="440"/>
        <w:spacing w:after="0" w:line="304" w:lineRule="auto"/>
        <w:rPr>
          <w:sz w:val="20"/>
          <w:szCs w:val="20"/>
          <w:color w:val="auto"/>
        </w:rPr>
      </w:pPr>
      <w:r>
        <w:rPr>
          <w:rFonts w:ascii="Arial" w:cs="Arial" w:eastAsia="Arial" w:hAnsi="Arial"/>
          <w:sz w:val="14"/>
          <w:szCs w:val="14"/>
          <w:b w:val="1"/>
          <w:bCs w:val="1"/>
          <w:color w:val="auto"/>
        </w:rPr>
        <w:t>Mrs. Austin was elected president and chief operating officer of DIRECTV, Inc. in June 2001. Mrs. Austin also serves as executive vice president of Hughes Electronics Corporation and is a member of its executive committee. From 1997 to</w:t>
      </w:r>
    </w:p>
    <w:p>
      <w:pPr>
        <w:ind w:left="2760"/>
        <w:spacing w:after="0"/>
        <w:rPr>
          <w:sz w:val="20"/>
          <w:szCs w:val="20"/>
          <w:color w:val="auto"/>
        </w:rPr>
      </w:pPr>
      <w:r>
        <w:rPr>
          <w:rFonts w:ascii="Arial" w:cs="Arial" w:eastAsia="Arial" w:hAnsi="Arial"/>
          <w:sz w:val="14"/>
          <w:szCs w:val="14"/>
          <w:b w:val="1"/>
          <w:bCs w:val="1"/>
          <w:color w:val="auto"/>
        </w:rPr>
        <w:t>June 2001, Mrs. Austin was the corporate senior vice president and chief financial officer of Hughes Electronics Corporation.</w:t>
      </w:r>
    </w:p>
    <w:p>
      <w:pPr>
        <w:spacing w:after="0" w:line="38" w:lineRule="exact"/>
        <w:rPr>
          <w:sz w:val="20"/>
          <w:szCs w:val="20"/>
          <w:color w:val="auto"/>
        </w:rPr>
      </w:pPr>
    </w:p>
    <w:p>
      <w:pPr>
        <w:ind w:left="2760"/>
        <w:spacing w:after="0"/>
        <w:rPr>
          <w:sz w:val="20"/>
          <w:szCs w:val="20"/>
          <w:color w:val="auto"/>
        </w:rPr>
      </w:pPr>
      <w:r>
        <w:rPr>
          <w:rFonts w:ascii="Arial" w:cs="Arial" w:eastAsia="Arial" w:hAnsi="Arial"/>
          <w:sz w:val="16"/>
          <w:szCs w:val="16"/>
          <w:b w:val="1"/>
          <w:bCs w:val="1"/>
          <w:color w:val="auto"/>
        </w:rPr>
        <w:t>Mrs. Austin served as Hughes Electronics' vice president, treasurer, chief accounting officer and controller from</w:t>
      </w:r>
    </w:p>
    <w:p>
      <w:pPr>
        <w:spacing w:after="0" w:line="15" w:lineRule="exact"/>
        <w:rPr>
          <w:sz w:val="20"/>
          <w:szCs w:val="20"/>
          <w:color w:val="auto"/>
        </w:rPr>
      </w:pPr>
    </w:p>
    <w:p>
      <w:pPr>
        <w:ind w:left="2760"/>
        <w:spacing w:after="0"/>
        <w:rPr>
          <w:sz w:val="20"/>
          <w:szCs w:val="20"/>
          <w:color w:val="auto"/>
        </w:rPr>
      </w:pPr>
      <w:r>
        <w:rPr>
          <w:rFonts w:ascii="Arial" w:cs="Arial" w:eastAsia="Arial" w:hAnsi="Arial"/>
          <w:sz w:val="14"/>
          <w:szCs w:val="14"/>
          <w:b w:val="1"/>
          <w:bCs w:val="1"/>
          <w:color w:val="auto"/>
        </w:rPr>
        <w:t>December 1996 to July 1997, as its vice president, treasurer, and controller from July 1996 to December 1996, and as its vice</w:t>
      </w:r>
    </w:p>
    <w:p>
      <w:pPr>
        <w:spacing w:after="0" w:line="38"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president and controller from July 1993 to July 1996. Prior to joining Hughes, Mrs. Austin was a partner at the accounting</w:t>
      </w:r>
    </w:p>
    <w:p>
      <w:pPr>
        <w:spacing w:after="0" w:line="26" w:lineRule="exact"/>
        <w:rPr>
          <w:sz w:val="20"/>
          <w:szCs w:val="20"/>
          <w:color w:val="auto"/>
        </w:rPr>
      </w:pPr>
    </w:p>
    <w:p>
      <w:pPr>
        <w:ind w:left="2760"/>
        <w:spacing w:after="0"/>
        <w:rPr>
          <w:sz w:val="20"/>
          <w:szCs w:val="20"/>
          <w:color w:val="auto"/>
        </w:rPr>
      </w:pPr>
      <w:r>
        <w:rPr>
          <w:rFonts w:ascii="Arial" w:cs="Arial" w:eastAsia="Arial" w:hAnsi="Arial"/>
          <w:sz w:val="14"/>
          <w:szCs w:val="14"/>
          <w:b w:val="1"/>
          <w:bCs w:val="1"/>
          <w:color w:val="auto"/>
        </w:rPr>
        <w:t>firm Deloitte and Touche. Mrs. Austin earned her B.B.A. degree in accounting from the University of Texas at San Antonio.</w:t>
      </w:r>
    </w:p>
    <w:p>
      <w:pPr>
        <w:spacing w:after="0" w:line="38" w:lineRule="exact"/>
        <w:rPr>
          <w:sz w:val="20"/>
          <w:szCs w:val="20"/>
          <w:color w:val="auto"/>
        </w:rPr>
      </w:pPr>
    </w:p>
    <w:p>
      <w:pPr>
        <w:ind w:left="2760"/>
        <w:spacing w:after="0"/>
        <w:rPr>
          <w:sz w:val="20"/>
          <w:szCs w:val="20"/>
          <w:color w:val="auto"/>
        </w:rPr>
      </w:pPr>
      <w:r>
        <w:rPr>
          <w:rFonts w:ascii="Arial" w:cs="Arial" w:eastAsia="Arial" w:hAnsi="Arial"/>
          <w:sz w:val="14"/>
          <w:szCs w:val="14"/>
          <w:b w:val="1"/>
          <w:bCs w:val="1"/>
          <w:color w:val="auto"/>
        </w:rPr>
        <w:t>She is a member of Financial Executives International, the California State Society of Certified Public Accountants, and the</w:t>
      </w:r>
    </w:p>
    <w:p>
      <w:pPr>
        <w:spacing w:after="0" w:line="38"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American Institute of Certified Public Accountants, and serves on the board of trustees of the California Science Center.</w:t>
      </w:r>
    </w:p>
    <w:p>
      <w:pPr>
        <w:spacing w:after="0" w:line="26" w:lineRule="exact"/>
        <w:rPr>
          <w:sz w:val="20"/>
          <w:szCs w:val="20"/>
          <w:color w:val="auto"/>
        </w:rPr>
      </w:pPr>
    </w:p>
    <w:p>
      <w:pPr>
        <w:ind w:left="2760"/>
        <w:spacing w:after="0"/>
        <w:rPr>
          <w:sz w:val="20"/>
          <w:szCs w:val="20"/>
          <w:color w:val="auto"/>
        </w:rPr>
      </w:pPr>
      <w:r>
        <w:rPr>
          <w:rFonts w:ascii="Arial" w:cs="Arial" w:eastAsia="Arial" w:hAnsi="Arial"/>
          <w:sz w:val="16"/>
          <w:szCs w:val="16"/>
          <w:b w:val="1"/>
          <w:bCs w:val="1"/>
          <w:color w:val="auto"/>
        </w:rPr>
        <w:t>Mrs. Austin serves on the board of directors of DirectTv Latin America and PanAmSat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212725</wp:posOffset>
            </wp:positionV>
            <wp:extent cx="7262495"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760"/>
        <w:spacing w:after="0"/>
        <w:tabs>
          <w:tab w:leader="none" w:pos="5500" w:val="left"/>
          <w:tab w:leader="none" w:pos="7300" w:val="left"/>
        </w:tabs>
        <w:rPr>
          <w:sz w:val="20"/>
          <w:szCs w:val="20"/>
          <w:color w:val="auto"/>
        </w:rPr>
      </w:pPr>
      <w:r>
        <w:rPr>
          <w:rFonts w:ascii="Arial" w:cs="Arial" w:eastAsia="Arial" w:hAnsi="Arial"/>
          <w:sz w:val="16"/>
          <w:szCs w:val="16"/>
          <w:b w:val="1"/>
          <w:bCs w:val="1"/>
          <w:color w:val="2B85FF"/>
        </w:rPr>
        <w:t>H. Laurance Fuller</w:t>
      </w:r>
      <w:r>
        <w:rPr>
          <w:sz w:val="20"/>
          <w:szCs w:val="20"/>
          <w:color w:val="auto"/>
        </w:rPr>
        <w:tab/>
      </w:r>
      <w:r>
        <w:rPr>
          <w:rFonts w:ascii="Arial" w:cs="Arial" w:eastAsia="Arial" w:hAnsi="Arial"/>
          <w:sz w:val="16"/>
          <w:szCs w:val="16"/>
          <w:b w:val="1"/>
          <w:bCs w:val="1"/>
          <w:color w:val="2B85FF"/>
        </w:rPr>
        <w:t>Age 63</w:t>
      </w:r>
      <w:r>
        <w:rPr>
          <w:sz w:val="20"/>
          <w:szCs w:val="20"/>
          <w:color w:val="auto"/>
        </w:rPr>
        <w:tab/>
      </w:r>
      <w:r>
        <w:rPr>
          <w:rFonts w:ascii="Arial" w:cs="Arial" w:eastAsia="Arial" w:hAnsi="Arial"/>
          <w:sz w:val="14"/>
          <w:szCs w:val="14"/>
          <w:b w:val="1"/>
          <w:bCs w:val="1"/>
          <w:color w:val="2B85FF"/>
        </w:rPr>
        <w:t>Director since 1988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048385" cy="1063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48385" cy="1063625"/>
                    </a:xfrm>
                    <a:prstGeom prst="rect">
                      <a:avLst/>
                    </a:prstGeom>
                    <a:noFill/>
                  </pic:spPr>
                </pic:pic>
              </a:graphicData>
            </a:graphic>
          </wp:anchor>
        </w:drawing>
      </w:r>
    </w:p>
    <w:p>
      <w:pPr>
        <w:spacing w:after="0" w:line="197" w:lineRule="exact"/>
        <w:rPr>
          <w:sz w:val="20"/>
          <w:szCs w:val="20"/>
          <w:color w:val="auto"/>
        </w:rPr>
      </w:pPr>
    </w:p>
    <w:p>
      <w:pPr>
        <w:ind w:left="2760" w:right="3520"/>
        <w:spacing w:after="0" w:line="287" w:lineRule="auto"/>
        <w:rPr>
          <w:sz w:val="20"/>
          <w:szCs w:val="20"/>
          <w:color w:val="auto"/>
        </w:rPr>
      </w:pPr>
      <w:r>
        <w:rPr>
          <w:rFonts w:ascii="Arial" w:cs="Arial" w:eastAsia="Arial" w:hAnsi="Arial"/>
          <w:sz w:val="16"/>
          <w:szCs w:val="16"/>
          <w:i w:val="1"/>
          <w:iCs w:val="1"/>
          <w:color w:val="2B85FF"/>
        </w:rPr>
        <w:t>Retired Co-Chairman of the Board, BP Amoco, p.l.c., London, United Kingdom (Integrated Petroleum and Chemicals Company)</w:t>
      </w:r>
    </w:p>
    <w:p>
      <w:pPr>
        <w:spacing w:after="0" w:line="152" w:lineRule="exact"/>
        <w:rPr>
          <w:sz w:val="20"/>
          <w:szCs w:val="20"/>
          <w:color w:val="auto"/>
        </w:rPr>
      </w:pPr>
    </w:p>
    <w:p>
      <w:pPr>
        <w:ind w:left="2760"/>
        <w:spacing w:after="0" w:line="320" w:lineRule="auto"/>
        <w:rPr>
          <w:sz w:val="20"/>
          <w:szCs w:val="20"/>
          <w:color w:val="auto"/>
        </w:rPr>
      </w:pPr>
      <w:r>
        <w:rPr>
          <w:rFonts w:ascii="Arial" w:cs="Arial" w:eastAsia="Arial" w:hAnsi="Arial"/>
          <w:sz w:val="14"/>
          <w:szCs w:val="14"/>
          <w:b w:val="1"/>
          <w:bCs w:val="1"/>
          <w:color w:val="auto"/>
        </w:rPr>
        <w:t>Mr. Fuller was elected president of Amoco Corporation in 1983 and chairman and chief executive officer in 1991. As the result of the merger of British Petroleum, p.l.c. and Amoco effective December 31, 1998, he became co-chairman of BP Amoco, p.l.c. He retired from that position in April 2000. He is a director of J. P. Morgan Chase and Co., Motorola, Inc., Security Capital Group, Inc., and the Rehabilitation Institute of Chicago, and a trustee of The Orchestral Association and Cornell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208915</wp:posOffset>
            </wp:positionV>
            <wp:extent cx="7262495"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760"/>
        <w:spacing w:after="0"/>
        <w:tabs>
          <w:tab w:leader="none" w:pos="5460" w:val="left"/>
          <w:tab w:leader="none" w:pos="7260" w:val="left"/>
        </w:tabs>
        <w:rPr>
          <w:sz w:val="20"/>
          <w:szCs w:val="20"/>
          <w:color w:val="auto"/>
        </w:rPr>
      </w:pPr>
      <w:r>
        <w:rPr>
          <w:rFonts w:ascii="Arial" w:cs="Arial" w:eastAsia="Arial" w:hAnsi="Arial"/>
          <w:sz w:val="16"/>
          <w:szCs w:val="16"/>
          <w:b w:val="1"/>
          <w:bCs w:val="1"/>
          <w:color w:val="2B85FF"/>
        </w:rPr>
        <w:t>Richard A. Gonzalez</w:t>
      </w:r>
      <w:r>
        <w:rPr>
          <w:sz w:val="20"/>
          <w:szCs w:val="20"/>
          <w:color w:val="auto"/>
        </w:rPr>
        <w:tab/>
      </w:r>
      <w:r>
        <w:rPr>
          <w:rFonts w:ascii="Arial" w:cs="Arial" w:eastAsia="Arial" w:hAnsi="Arial"/>
          <w:sz w:val="16"/>
          <w:szCs w:val="16"/>
          <w:b w:val="1"/>
          <w:bCs w:val="1"/>
          <w:color w:val="2B85FF"/>
        </w:rPr>
        <w:t>Age 48</w:t>
      </w:r>
      <w:r>
        <w:rPr>
          <w:sz w:val="20"/>
          <w:szCs w:val="20"/>
          <w:color w:val="auto"/>
        </w:rPr>
        <w:tab/>
      </w:r>
      <w:r>
        <w:rPr>
          <w:rFonts w:ascii="Arial" w:cs="Arial" w:eastAsia="Arial" w:hAnsi="Arial"/>
          <w:sz w:val="14"/>
          <w:szCs w:val="14"/>
          <w:b w:val="1"/>
          <w:bCs w:val="1"/>
          <w:color w:val="2B85FF"/>
        </w:rPr>
        <w:t>Director since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071880" cy="1071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71880" cy="1071880"/>
                    </a:xfrm>
                    <a:prstGeom prst="rect">
                      <a:avLst/>
                    </a:prstGeom>
                    <a:noFill/>
                  </pic:spPr>
                </pic:pic>
              </a:graphicData>
            </a:graphic>
          </wp:anchor>
        </w:drawing>
      </w:r>
    </w:p>
    <w:p>
      <w:pPr>
        <w:spacing w:after="0" w:line="197" w:lineRule="exact"/>
        <w:rPr>
          <w:sz w:val="20"/>
          <w:szCs w:val="20"/>
          <w:color w:val="auto"/>
        </w:rPr>
      </w:pPr>
    </w:p>
    <w:p>
      <w:pPr>
        <w:ind w:left="2760"/>
        <w:spacing w:after="0"/>
        <w:rPr>
          <w:sz w:val="20"/>
          <w:szCs w:val="20"/>
          <w:color w:val="auto"/>
        </w:rPr>
      </w:pPr>
      <w:r>
        <w:rPr>
          <w:rFonts w:ascii="Arial" w:cs="Arial" w:eastAsia="Arial" w:hAnsi="Arial"/>
          <w:sz w:val="16"/>
          <w:szCs w:val="16"/>
          <w:i w:val="1"/>
          <w:iCs w:val="1"/>
          <w:color w:val="2B85FF"/>
        </w:rPr>
        <w:t>President and Chief Operating Officer, Medical Products Group, Abbott Laboratories</w:t>
      </w:r>
    </w:p>
    <w:p>
      <w:pPr>
        <w:spacing w:after="0" w:line="209" w:lineRule="exact"/>
        <w:rPr>
          <w:sz w:val="20"/>
          <w:szCs w:val="20"/>
          <w:color w:val="auto"/>
        </w:rPr>
      </w:pPr>
    </w:p>
    <w:p>
      <w:pPr>
        <w:ind w:left="2760"/>
        <w:spacing w:after="0" w:line="310" w:lineRule="auto"/>
        <w:rPr>
          <w:sz w:val="20"/>
          <w:szCs w:val="20"/>
          <w:color w:val="auto"/>
        </w:rPr>
      </w:pPr>
      <w:r>
        <w:rPr>
          <w:rFonts w:ascii="Arial" w:cs="Arial" w:eastAsia="Arial" w:hAnsi="Arial"/>
          <w:sz w:val="14"/>
          <w:szCs w:val="14"/>
          <w:b w:val="1"/>
          <w:bCs w:val="1"/>
          <w:color w:val="auto"/>
        </w:rPr>
        <w:t>Mr. Gonzalez was elected Abbott's president and chief operating officer, medical products group in 2001. He served as executive vice president, medical products from 2000 to 2001, as senior vice president, hospital products from 1998 to 2000, and as vice president, Abbott HealthSystems division from 1995 to 1998. Mr. Gonzalez joined Abbott in 1977. He received his bachelor's degree in biochemistry from the University of Houston and his master's degree in biochemistry from the University of Miami. He serves on the board of directors of the Lyric Opera of Chicago, the John G. Shedd Aquarium and the Advanced Medical Technology Association (AdvaMed). He is also Chairman of AdvaMed's Technology and Regulation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7262495"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343535</wp:posOffset>
            </wp:positionV>
            <wp:extent cx="7262495"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760"/>
        <w:spacing w:after="0"/>
        <w:tabs>
          <w:tab w:leader="none" w:pos="5440" w:val="left"/>
          <w:tab w:leader="none" w:pos="7240" w:val="left"/>
        </w:tabs>
        <w:rPr>
          <w:sz w:val="20"/>
          <w:szCs w:val="20"/>
          <w:color w:val="auto"/>
        </w:rPr>
      </w:pPr>
      <w:r>
        <w:rPr>
          <w:rFonts w:ascii="Arial" w:cs="Arial" w:eastAsia="Arial" w:hAnsi="Arial"/>
          <w:sz w:val="16"/>
          <w:szCs w:val="16"/>
          <w:b w:val="1"/>
          <w:bCs w:val="1"/>
          <w:color w:val="2B85FF"/>
        </w:rPr>
        <w:t>Jack M. Greenberg</w:t>
      </w:r>
      <w:r>
        <w:rPr>
          <w:sz w:val="20"/>
          <w:szCs w:val="20"/>
          <w:color w:val="auto"/>
        </w:rPr>
        <w:tab/>
      </w:r>
      <w:r>
        <w:rPr>
          <w:rFonts w:ascii="Arial" w:cs="Arial" w:eastAsia="Arial" w:hAnsi="Arial"/>
          <w:sz w:val="16"/>
          <w:szCs w:val="16"/>
          <w:b w:val="1"/>
          <w:bCs w:val="1"/>
          <w:color w:val="2B85FF"/>
        </w:rPr>
        <w:t>Age 59</w:t>
      </w:r>
      <w:r>
        <w:rPr>
          <w:sz w:val="20"/>
          <w:szCs w:val="20"/>
          <w:color w:val="auto"/>
        </w:rPr>
        <w:tab/>
      </w:r>
      <w:r>
        <w:rPr>
          <w:rFonts w:ascii="Arial" w:cs="Arial" w:eastAsia="Arial" w:hAnsi="Arial"/>
          <w:sz w:val="14"/>
          <w:szCs w:val="14"/>
          <w:b w:val="1"/>
          <w:bCs w:val="1"/>
          <w:color w:val="2B85FF"/>
        </w:rPr>
        <w:t>Director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048385" cy="1048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48385" cy="1048385"/>
                    </a:xfrm>
                    <a:prstGeom prst="rect">
                      <a:avLst/>
                    </a:prstGeom>
                    <a:noFill/>
                  </pic:spPr>
                </pic:pic>
              </a:graphicData>
            </a:graphic>
          </wp:anchor>
        </w:drawing>
      </w:r>
    </w:p>
    <w:p>
      <w:pPr>
        <w:spacing w:after="0" w:line="197" w:lineRule="exact"/>
        <w:rPr>
          <w:sz w:val="20"/>
          <w:szCs w:val="20"/>
          <w:color w:val="auto"/>
        </w:rPr>
      </w:pPr>
    </w:p>
    <w:p>
      <w:pPr>
        <w:ind w:left="2760" w:right="3160"/>
        <w:spacing w:after="0" w:line="322" w:lineRule="auto"/>
        <w:rPr>
          <w:sz w:val="20"/>
          <w:szCs w:val="20"/>
          <w:color w:val="auto"/>
        </w:rPr>
      </w:pPr>
      <w:r>
        <w:rPr>
          <w:rFonts w:ascii="Arial" w:cs="Arial" w:eastAsia="Arial" w:hAnsi="Arial"/>
          <w:sz w:val="15"/>
          <w:szCs w:val="15"/>
          <w:i w:val="1"/>
          <w:iCs w:val="1"/>
          <w:color w:val="2B85FF"/>
        </w:rPr>
        <w:t>Chairman and Chief Executive Officer, McDonald's Corporation, Oak Brook, Illinois (Developer, Operator, and Franchisor of a Worldwide System of Restaurants)</w:t>
      </w:r>
    </w:p>
    <w:p>
      <w:pPr>
        <w:spacing w:after="0" w:line="129" w:lineRule="exact"/>
        <w:rPr>
          <w:sz w:val="20"/>
          <w:szCs w:val="20"/>
          <w:color w:val="auto"/>
        </w:rPr>
      </w:pPr>
    </w:p>
    <w:p>
      <w:pPr>
        <w:ind w:left="2760" w:right="20"/>
        <w:spacing w:after="0" w:line="281" w:lineRule="auto"/>
        <w:rPr>
          <w:sz w:val="20"/>
          <w:szCs w:val="20"/>
          <w:color w:val="auto"/>
        </w:rPr>
      </w:pPr>
      <w:r>
        <w:rPr>
          <w:rFonts w:ascii="Arial" w:cs="Arial" w:eastAsia="Arial" w:hAnsi="Arial"/>
          <w:sz w:val="15"/>
          <w:szCs w:val="15"/>
          <w:b w:val="1"/>
          <w:bCs w:val="1"/>
          <w:color w:val="auto"/>
        </w:rPr>
        <w:t>Mr. Greenberg has served as chairman of McDonald's Corporation since May 1999 and also as its chief executive officer since August 1998. He served as McDonald's president from August 1998 to May 1999, and as its vice-chairman from December 1991 to 1998. Mr. Greenberg also served as chairman (from October 1996) and chief executive officer (from</w:t>
      </w:r>
    </w:p>
    <w:p>
      <w:pPr>
        <w:spacing w:after="0" w:line="1" w:lineRule="exact"/>
        <w:rPr>
          <w:sz w:val="20"/>
          <w:szCs w:val="20"/>
          <w:color w:val="auto"/>
        </w:rPr>
      </w:pPr>
    </w:p>
    <w:p>
      <w:pPr>
        <w:ind w:left="2760" w:right="40"/>
        <w:spacing w:after="0" w:line="262" w:lineRule="auto"/>
        <w:rPr>
          <w:sz w:val="20"/>
          <w:szCs w:val="20"/>
          <w:color w:val="auto"/>
        </w:rPr>
      </w:pPr>
      <w:r>
        <w:rPr>
          <w:rFonts w:ascii="Arial" w:cs="Arial" w:eastAsia="Arial" w:hAnsi="Arial"/>
          <w:sz w:val="16"/>
          <w:szCs w:val="16"/>
          <w:b w:val="1"/>
          <w:bCs w:val="1"/>
          <w:color w:val="auto"/>
        </w:rPr>
        <w:t>July 1997) of McDonald's USA until August 1998. Mr. Greenberg has been a member of McDonald's board of directors since 1982. Mr. Greenberg is a graduate of DePaul University's School of Commerce and School of Law. He is a member of the American Institute of Certified Public Accountants, the Illinois CPA Society and the Chicago Bar Association. Mr. Greenberg is a member of the Council of the World Economic Forum and is a director of The Allstate Corporation. He is also a member of the board of trustees of Ronald McDonald House Charities, DePaul University, the Field Museum, and the Chicago Symphony Orchestra.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194945</wp:posOffset>
            </wp:positionV>
            <wp:extent cx="726249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3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760"/>
        <w:spacing w:after="0"/>
        <w:tabs>
          <w:tab w:leader="none" w:pos="5500" w:val="left"/>
          <w:tab w:leader="none" w:pos="7260" w:val="left"/>
        </w:tabs>
        <w:rPr>
          <w:sz w:val="20"/>
          <w:szCs w:val="20"/>
          <w:color w:val="auto"/>
        </w:rPr>
      </w:pPr>
      <w:r>
        <w:rPr>
          <w:rFonts w:ascii="Arial" w:cs="Arial" w:eastAsia="Arial" w:hAnsi="Arial"/>
          <w:sz w:val="16"/>
          <w:szCs w:val="16"/>
          <w:b w:val="1"/>
          <w:bCs w:val="1"/>
          <w:color w:val="2B85FF"/>
        </w:rPr>
        <w:t>David A. Jones</w:t>
      </w:r>
      <w:r>
        <w:rPr>
          <w:sz w:val="20"/>
          <w:szCs w:val="20"/>
          <w:color w:val="auto"/>
        </w:rPr>
        <w:tab/>
      </w:r>
      <w:r>
        <w:rPr>
          <w:rFonts w:ascii="Arial" w:cs="Arial" w:eastAsia="Arial" w:hAnsi="Arial"/>
          <w:sz w:val="16"/>
          <w:szCs w:val="16"/>
          <w:b w:val="1"/>
          <w:bCs w:val="1"/>
          <w:color w:val="2B85FF"/>
        </w:rPr>
        <w:t>Age 70</w:t>
      </w:r>
      <w:r>
        <w:rPr>
          <w:sz w:val="20"/>
          <w:szCs w:val="20"/>
          <w:color w:val="auto"/>
        </w:rPr>
        <w:tab/>
      </w:r>
      <w:r>
        <w:rPr>
          <w:rFonts w:ascii="Arial" w:cs="Arial" w:eastAsia="Arial" w:hAnsi="Arial"/>
          <w:sz w:val="14"/>
          <w:szCs w:val="14"/>
          <w:b w:val="1"/>
          <w:bCs w:val="1"/>
          <w:color w:val="2B85FF"/>
        </w:rPr>
        <w:t>Director since 1982</w:t>
      </w:r>
    </w:p>
    <w:p>
      <w:pPr>
        <w:sectPr>
          <w:pgSz w:w="11900" w:h="16838" w:orient="portrait"/>
          <w:cols w:equalWidth="0" w:num="1">
            <w:col w:w="11420"/>
          </w:cols>
          <w:pgMar w:left="240" w:top="325" w:right="239" w:bottom="0" w:gutter="0" w:footer="0" w:header="0"/>
          <w:type w:val="continuous"/>
        </w:sectPr>
      </w:pPr>
    </w:p>
    <w:bookmarkStart w:id="5" w:name="page6"/>
    <w:bookmarkEnd w:id="5"/>
    <w:p>
      <w:pPr>
        <w:ind w:left="2760"/>
        <w:spacing w:after="0"/>
        <w:rPr>
          <w:sz w:val="20"/>
          <w:szCs w:val="20"/>
          <w:color w:val="auto"/>
        </w:rPr>
      </w:pPr>
      <w:r>
        <w:rPr>
          <w:rFonts w:ascii="Arial" w:cs="Arial" w:eastAsia="Arial" w:hAnsi="Arial"/>
          <w:sz w:val="16"/>
          <w:szCs w:val="16"/>
          <w:i w:val="1"/>
          <w:iCs w:val="1"/>
          <w:color w:val="2B85FF"/>
        </w:rPr>
        <w:t>Chairman, Humana Inc., Louisville, Kentucky (Health Plan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1048385" cy="10636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48385" cy="1063625"/>
                    </a:xfrm>
                    <a:prstGeom prst="rect">
                      <a:avLst/>
                    </a:prstGeom>
                    <a:noFill/>
                  </pic:spPr>
                </pic:pic>
              </a:graphicData>
            </a:graphic>
          </wp:anchor>
        </w:drawing>
      </w:r>
    </w:p>
    <w:p>
      <w:pPr>
        <w:spacing w:after="0" w:line="189" w:lineRule="exact"/>
        <w:rPr>
          <w:sz w:val="20"/>
          <w:szCs w:val="20"/>
          <w:color w:val="auto"/>
        </w:rPr>
      </w:pPr>
    </w:p>
    <w:p>
      <w:pPr>
        <w:ind w:left="2760" w:right="20"/>
        <w:spacing w:after="0" w:line="332" w:lineRule="auto"/>
        <w:rPr>
          <w:sz w:val="20"/>
          <w:szCs w:val="20"/>
          <w:color w:val="auto"/>
        </w:rPr>
      </w:pPr>
      <w:r>
        <w:rPr>
          <w:rFonts w:ascii="Arial" w:cs="Arial" w:eastAsia="Arial" w:hAnsi="Arial"/>
          <w:sz w:val="14"/>
          <w:szCs w:val="14"/>
          <w:b w:val="1"/>
          <w:bCs w:val="1"/>
          <w:color w:val="auto"/>
        </w:rPr>
        <w:t>Mr. Jones is co-founder of Humana Inc. and served as chairman and chief executive officer since its organization in 1961 until he retired as chief executive officer on December 1, 1997. On August 3, 1999, Mr. Jones resumed his responsibilities as chief executive officer and held that position until February 3, 2000, when he resumed the position of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598170</wp:posOffset>
            </wp:positionV>
            <wp:extent cx="726249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760"/>
        <w:spacing w:after="0"/>
        <w:tabs>
          <w:tab w:leader="none" w:pos="5420" w:val="left"/>
          <w:tab w:leader="none" w:pos="7220" w:val="left"/>
        </w:tabs>
        <w:rPr>
          <w:sz w:val="20"/>
          <w:szCs w:val="20"/>
          <w:color w:val="auto"/>
        </w:rPr>
      </w:pPr>
      <w:r>
        <w:rPr>
          <w:rFonts w:ascii="Arial" w:cs="Arial" w:eastAsia="Arial" w:hAnsi="Arial"/>
          <w:sz w:val="16"/>
          <w:szCs w:val="16"/>
          <w:b w:val="1"/>
          <w:bCs w:val="1"/>
          <w:color w:val="2B85FF"/>
        </w:rPr>
        <w:t>Jeffrey M. Leiden, M.D., Ph.D.</w:t>
      </w:r>
      <w:r>
        <w:rPr>
          <w:sz w:val="20"/>
          <w:szCs w:val="20"/>
          <w:color w:val="auto"/>
        </w:rPr>
        <w:tab/>
      </w:r>
      <w:r>
        <w:rPr>
          <w:rFonts w:ascii="Arial" w:cs="Arial" w:eastAsia="Arial" w:hAnsi="Arial"/>
          <w:sz w:val="16"/>
          <w:szCs w:val="16"/>
          <w:b w:val="1"/>
          <w:bCs w:val="1"/>
          <w:color w:val="2B85FF"/>
        </w:rPr>
        <w:t>Age 46</w:t>
      </w:r>
      <w:r>
        <w:rPr>
          <w:sz w:val="20"/>
          <w:szCs w:val="20"/>
          <w:color w:val="auto"/>
        </w:rPr>
        <w:tab/>
      </w:r>
      <w:r>
        <w:rPr>
          <w:rFonts w:ascii="Arial" w:cs="Arial" w:eastAsia="Arial" w:hAnsi="Arial"/>
          <w:sz w:val="14"/>
          <w:szCs w:val="14"/>
          <w:b w:val="1"/>
          <w:bCs w:val="1"/>
          <w:color w:val="2B85FF"/>
        </w:rPr>
        <w:t>Director since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063625" cy="1063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63625" cy="1063625"/>
                    </a:xfrm>
                    <a:prstGeom prst="rect">
                      <a:avLst/>
                    </a:prstGeom>
                    <a:noFill/>
                  </pic:spPr>
                </pic:pic>
              </a:graphicData>
            </a:graphic>
          </wp:anchor>
        </w:drawing>
      </w:r>
    </w:p>
    <w:p>
      <w:pPr>
        <w:spacing w:after="0" w:line="197" w:lineRule="exact"/>
        <w:rPr>
          <w:sz w:val="20"/>
          <w:szCs w:val="20"/>
          <w:color w:val="auto"/>
        </w:rPr>
      </w:pPr>
    </w:p>
    <w:p>
      <w:pPr>
        <w:ind w:left="2760"/>
        <w:spacing w:after="0"/>
        <w:rPr>
          <w:sz w:val="20"/>
          <w:szCs w:val="20"/>
          <w:color w:val="auto"/>
        </w:rPr>
      </w:pPr>
      <w:r>
        <w:rPr>
          <w:rFonts w:ascii="Arial" w:cs="Arial" w:eastAsia="Arial" w:hAnsi="Arial"/>
          <w:sz w:val="16"/>
          <w:szCs w:val="16"/>
          <w:i w:val="1"/>
          <w:iCs w:val="1"/>
          <w:color w:val="2B85FF"/>
        </w:rPr>
        <w:t>President and Chief Operating Officer, Pharmaceutical Products Group, Abbott Laboratories</w:t>
      </w:r>
    </w:p>
    <w:p>
      <w:pPr>
        <w:spacing w:after="0" w:line="209" w:lineRule="exact"/>
        <w:rPr>
          <w:sz w:val="20"/>
          <w:szCs w:val="20"/>
          <w:color w:val="auto"/>
        </w:rPr>
      </w:pPr>
    </w:p>
    <w:p>
      <w:pPr>
        <w:ind w:left="2760"/>
        <w:spacing w:after="0"/>
        <w:rPr>
          <w:sz w:val="20"/>
          <w:szCs w:val="20"/>
          <w:color w:val="auto"/>
        </w:rPr>
      </w:pPr>
      <w:r>
        <w:rPr>
          <w:rFonts w:ascii="Arial" w:cs="Arial" w:eastAsia="Arial" w:hAnsi="Arial"/>
          <w:sz w:val="14"/>
          <w:szCs w:val="14"/>
          <w:b w:val="1"/>
          <w:bCs w:val="1"/>
          <w:color w:val="auto"/>
        </w:rPr>
        <w:t>Dr. Leiden was elected Abbott's president and chief operating officer, pharmaceutical products group in 2001. He served as</w:t>
      </w:r>
    </w:p>
    <w:p>
      <w:pPr>
        <w:spacing w:after="0" w:line="49"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executive vice president, pharmaceuticals and chief scientific officer from 2000 to 2001. From July 1999 until July 2000,</w:t>
      </w:r>
    </w:p>
    <w:p>
      <w:pPr>
        <w:spacing w:after="0" w:line="26" w:lineRule="exact"/>
        <w:rPr>
          <w:sz w:val="20"/>
          <w:szCs w:val="20"/>
          <w:color w:val="auto"/>
        </w:rPr>
      </w:pPr>
    </w:p>
    <w:p>
      <w:pPr>
        <w:ind w:left="2760"/>
        <w:spacing w:after="0"/>
        <w:rPr>
          <w:sz w:val="20"/>
          <w:szCs w:val="20"/>
          <w:color w:val="auto"/>
        </w:rPr>
      </w:pPr>
      <w:r>
        <w:rPr>
          <w:rFonts w:ascii="Arial" w:cs="Arial" w:eastAsia="Arial" w:hAnsi="Arial"/>
          <w:sz w:val="14"/>
          <w:szCs w:val="14"/>
          <w:b w:val="1"/>
          <w:bCs w:val="1"/>
          <w:color w:val="auto"/>
        </w:rPr>
        <w:t>Dr. Leiden was Elkan R. Blout Professor of Biological Sciences, Harvard School of Public Health and Professor of Medicine,</w:t>
      </w:r>
    </w:p>
    <w:p>
      <w:pPr>
        <w:spacing w:after="0" w:line="38" w:lineRule="exact"/>
        <w:rPr>
          <w:sz w:val="20"/>
          <w:szCs w:val="20"/>
          <w:color w:val="auto"/>
        </w:rPr>
      </w:pPr>
    </w:p>
    <w:p>
      <w:pPr>
        <w:ind w:left="2760"/>
        <w:spacing w:after="0"/>
        <w:rPr>
          <w:sz w:val="20"/>
          <w:szCs w:val="20"/>
          <w:color w:val="auto"/>
        </w:rPr>
      </w:pPr>
      <w:r>
        <w:rPr>
          <w:rFonts w:ascii="Arial" w:cs="Arial" w:eastAsia="Arial" w:hAnsi="Arial"/>
          <w:sz w:val="14"/>
          <w:szCs w:val="14"/>
          <w:b w:val="1"/>
          <w:bCs w:val="1"/>
          <w:color w:val="auto"/>
        </w:rPr>
        <w:t>Harvard Medical School. Prior to July 1999, he was the Frederick H. Rawson Professor of Medicine and Pathology and Chief</w:t>
      </w:r>
    </w:p>
    <w:p>
      <w:pPr>
        <w:spacing w:after="0" w:line="38"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of the Section of Cardiology at the University of Chicago. He is currently a member of the American Society of Clinical</w:t>
      </w:r>
    </w:p>
    <w:p>
      <w:pPr>
        <w:spacing w:after="0" w:line="26" w:lineRule="exact"/>
        <w:rPr>
          <w:sz w:val="20"/>
          <w:szCs w:val="20"/>
          <w:color w:val="auto"/>
        </w:rPr>
      </w:pPr>
    </w:p>
    <w:p>
      <w:pPr>
        <w:ind w:left="2760"/>
        <w:spacing w:after="0"/>
        <w:rPr>
          <w:sz w:val="20"/>
          <w:szCs w:val="20"/>
          <w:color w:val="auto"/>
        </w:rPr>
      </w:pPr>
      <w:r>
        <w:rPr>
          <w:rFonts w:ascii="Arial" w:cs="Arial" w:eastAsia="Arial" w:hAnsi="Arial"/>
          <w:sz w:val="14"/>
          <w:szCs w:val="14"/>
          <w:b w:val="1"/>
          <w:bCs w:val="1"/>
          <w:color w:val="auto"/>
        </w:rPr>
        <w:t>Investigation and the American Association of Physicians and serves on the board of directors of the Ravinia Festival, the</w:t>
      </w:r>
    </w:p>
    <w:p>
      <w:pPr>
        <w:spacing w:after="0" w:line="38" w:lineRule="exact"/>
        <w:rPr>
          <w:sz w:val="20"/>
          <w:szCs w:val="20"/>
          <w:color w:val="auto"/>
        </w:rPr>
      </w:pPr>
    </w:p>
    <w:p>
      <w:pPr>
        <w:ind w:left="2760"/>
        <w:spacing w:after="0"/>
        <w:rPr>
          <w:sz w:val="20"/>
          <w:szCs w:val="20"/>
          <w:color w:val="auto"/>
        </w:rPr>
      </w:pPr>
      <w:r>
        <w:rPr>
          <w:rFonts w:ascii="Arial" w:cs="Arial" w:eastAsia="Arial" w:hAnsi="Arial"/>
          <w:sz w:val="14"/>
          <w:szCs w:val="14"/>
          <w:b w:val="1"/>
          <w:bCs w:val="1"/>
          <w:color w:val="auto"/>
        </w:rPr>
        <w:t>Museum of Science and Industry, and the Keystone Symposia. In 2001, he was elected a fellow of the American Academy of</w:t>
      </w:r>
    </w:p>
    <w:p>
      <w:pPr>
        <w:spacing w:after="0" w:line="38" w:lineRule="exact"/>
        <w:rPr>
          <w:sz w:val="20"/>
          <w:szCs w:val="20"/>
          <w:color w:val="auto"/>
        </w:rPr>
      </w:pPr>
    </w:p>
    <w:p>
      <w:pPr>
        <w:ind w:left="2760"/>
        <w:spacing w:after="0"/>
        <w:rPr>
          <w:sz w:val="20"/>
          <w:szCs w:val="20"/>
          <w:color w:val="auto"/>
        </w:rPr>
      </w:pPr>
      <w:r>
        <w:rPr>
          <w:rFonts w:ascii="Arial" w:cs="Arial" w:eastAsia="Arial" w:hAnsi="Arial"/>
          <w:sz w:val="16"/>
          <w:szCs w:val="16"/>
          <w:b w:val="1"/>
          <w:bCs w:val="1"/>
          <w:color w:val="auto"/>
        </w:rPr>
        <w:t>Arts and Sciences and a member of the Institute of Medicine of the National Academy of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262495"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343535</wp:posOffset>
            </wp:positionV>
            <wp:extent cx="7262495"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760"/>
        <w:spacing w:after="0"/>
        <w:tabs>
          <w:tab w:leader="none" w:pos="5620" w:val="left"/>
          <w:tab w:leader="none" w:pos="7260" w:val="left"/>
        </w:tabs>
        <w:rPr>
          <w:sz w:val="20"/>
          <w:szCs w:val="20"/>
          <w:color w:val="auto"/>
        </w:rPr>
      </w:pPr>
      <w:r>
        <w:rPr>
          <w:rFonts w:ascii="Arial" w:cs="Arial" w:eastAsia="Arial" w:hAnsi="Arial"/>
          <w:sz w:val="16"/>
          <w:szCs w:val="16"/>
          <w:b w:val="1"/>
          <w:bCs w:val="1"/>
          <w:color w:val="2B85FF"/>
        </w:rPr>
        <w:t>The Rt. Hon. Lord Owen CH</w:t>
      </w:r>
      <w:r>
        <w:rPr>
          <w:sz w:val="20"/>
          <w:szCs w:val="20"/>
          <w:color w:val="auto"/>
        </w:rPr>
        <w:tab/>
      </w:r>
      <w:r>
        <w:rPr>
          <w:rFonts w:ascii="Arial" w:cs="Arial" w:eastAsia="Arial" w:hAnsi="Arial"/>
          <w:sz w:val="16"/>
          <w:szCs w:val="16"/>
          <w:b w:val="1"/>
          <w:bCs w:val="1"/>
          <w:color w:val="2B85FF"/>
        </w:rPr>
        <w:t>Age 63</w:t>
      </w:r>
      <w:r>
        <w:rPr>
          <w:sz w:val="20"/>
          <w:szCs w:val="20"/>
          <w:color w:val="auto"/>
        </w:rPr>
        <w:tab/>
      </w:r>
      <w:r>
        <w:rPr>
          <w:rFonts w:ascii="Arial" w:cs="Arial" w:eastAsia="Arial" w:hAnsi="Arial"/>
          <w:sz w:val="14"/>
          <w:szCs w:val="14"/>
          <w:b w:val="1"/>
          <w:bCs w:val="1"/>
          <w:color w:val="2B85FF"/>
        </w:rPr>
        <w:t>Director since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063625" cy="1048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63625" cy="1048385"/>
                    </a:xfrm>
                    <a:prstGeom prst="rect">
                      <a:avLst/>
                    </a:prstGeom>
                    <a:noFill/>
                  </pic:spPr>
                </pic:pic>
              </a:graphicData>
            </a:graphic>
          </wp:anchor>
        </w:drawing>
      </w:r>
    </w:p>
    <w:p>
      <w:pPr>
        <w:spacing w:after="0" w:line="197" w:lineRule="exact"/>
        <w:rPr>
          <w:sz w:val="20"/>
          <w:szCs w:val="20"/>
          <w:color w:val="auto"/>
        </w:rPr>
      </w:pPr>
    </w:p>
    <w:p>
      <w:pPr>
        <w:ind w:left="2760"/>
        <w:spacing w:after="0"/>
        <w:rPr>
          <w:sz w:val="20"/>
          <w:szCs w:val="20"/>
          <w:color w:val="auto"/>
        </w:rPr>
      </w:pPr>
      <w:r>
        <w:rPr>
          <w:rFonts w:ascii="Arial" w:cs="Arial" w:eastAsia="Arial" w:hAnsi="Arial"/>
          <w:sz w:val="16"/>
          <w:szCs w:val="16"/>
          <w:i w:val="1"/>
          <w:iCs w:val="1"/>
          <w:color w:val="2B85FF"/>
        </w:rPr>
        <w:t>Physician, Politician, and Businessman, London, United Kingdom</w:t>
      </w:r>
    </w:p>
    <w:p>
      <w:pPr>
        <w:spacing w:after="0" w:line="209" w:lineRule="exact"/>
        <w:rPr>
          <w:sz w:val="20"/>
          <w:szCs w:val="20"/>
          <w:color w:val="auto"/>
        </w:rPr>
      </w:pPr>
    </w:p>
    <w:p>
      <w:pPr>
        <w:ind w:left="2760" w:right="260"/>
        <w:spacing w:after="0" w:line="286" w:lineRule="auto"/>
        <w:rPr>
          <w:sz w:val="20"/>
          <w:szCs w:val="20"/>
          <w:color w:val="auto"/>
        </w:rPr>
      </w:pPr>
      <w:r>
        <w:rPr>
          <w:rFonts w:ascii="Arial" w:cs="Arial" w:eastAsia="Arial" w:hAnsi="Arial"/>
          <w:sz w:val="15"/>
          <w:szCs w:val="15"/>
          <w:b w:val="1"/>
          <w:bCs w:val="1"/>
          <w:color w:val="auto"/>
        </w:rPr>
        <w:t>David Owen is a British subject. He was a neurologist and Research Fellow on the Medical Unit of St. Thomas' Hospital, London, from 1965 through 1968 and a member of Parliament for Plymouth in the House of Commons from 1966 until he retired in May of 1992. In 1992, he was created a Life Peer and a Member of the House of Lords. In August of 1992, the European Union appointed him Co-Chairman of the International Conference on Former Yugoslavia. He stepped down in June of 1995. Lord Owen was Secretary for Foreign and Commonwealth Affairs from 1977 to 1979 and Minister of Health from 1974 to 1976. He is executive chairman of Middlesex Holdings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184150</wp:posOffset>
            </wp:positionV>
            <wp:extent cx="7262495"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760"/>
        <w:spacing w:after="0"/>
        <w:tabs>
          <w:tab w:leader="none" w:pos="5680" w:val="left"/>
          <w:tab w:leader="none" w:pos="7280" w:val="left"/>
        </w:tabs>
        <w:rPr>
          <w:sz w:val="20"/>
          <w:szCs w:val="20"/>
          <w:color w:val="auto"/>
        </w:rPr>
      </w:pPr>
      <w:r>
        <w:rPr>
          <w:rFonts w:ascii="Arial" w:cs="Arial" w:eastAsia="Arial" w:hAnsi="Arial"/>
          <w:sz w:val="16"/>
          <w:szCs w:val="16"/>
          <w:b w:val="1"/>
          <w:bCs w:val="1"/>
          <w:color w:val="2B85FF"/>
        </w:rPr>
        <w:t>Boone Powell Jr.</w:t>
      </w:r>
      <w:r>
        <w:rPr>
          <w:sz w:val="20"/>
          <w:szCs w:val="20"/>
          <w:color w:val="auto"/>
        </w:rPr>
        <w:tab/>
      </w:r>
      <w:r>
        <w:rPr>
          <w:rFonts w:ascii="Arial" w:cs="Arial" w:eastAsia="Arial" w:hAnsi="Arial"/>
          <w:sz w:val="16"/>
          <w:szCs w:val="16"/>
          <w:b w:val="1"/>
          <w:bCs w:val="1"/>
          <w:color w:val="2B85FF"/>
        </w:rPr>
        <w:t>Age 65</w:t>
      </w:r>
      <w:r>
        <w:rPr>
          <w:sz w:val="20"/>
          <w:szCs w:val="20"/>
          <w:color w:val="auto"/>
        </w:rPr>
        <w:tab/>
      </w:r>
      <w:r>
        <w:rPr>
          <w:rFonts w:ascii="Arial" w:cs="Arial" w:eastAsia="Arial" w:hAnsi="Arial"/>
          <w:sz w:val="14"/>
          <w:szCs w:val="14"/>
          <w:b w:val="1"/>
          <w:bCs w:val="1"/>
          <w:color w:val="2B85FF"/>
        </w:rPr>
        <w:t>Director since 1985</w:t>
      </w:r>
    </w:p>
    <w:p>
      <w:pPr>
        <w:spacing w:after="0" w:line="217" w:lineRule="exact"/>
        <w:rPr>
          <w:sz w:val="20"/>
          <w:szCs w:val="20"/>
          <w:color w:val="auto"/>
        </w:rPr>
      </w:pPr>
    </w:p>
    <w:p>
      <w:pPr>
        <w:ind w:left="2760"/>
        <w:spacing w:after="0"/>
        <w:rPr>
          <w:sz w:val="20"/>
          <w:szCs w:val="20"/>
          <w:color w:val="auto"/>
        </w:rPr>
      </w:pPr>
      <w:r>
        <w:rPr>
          <w:rFonts w:ascii="Arial" w:cs="Arial" w:eastAsia="Arial" w:hAnsi="Arial"/>
          <w:sz w:val="16"/>
          <w:szCs w:val="16"/>
          <w:i w:val="1"/>
          <w:iCs w:val="1"/>
          <w:color w:val="2B85FF"/>
        </w:rPr>
        <w:t>Retired Chairman, Baylor Health Care System, Dallas, Texas</w:t>
      </w:r>
    </w:p>
    <w:p>
      <w:pPr>
        <w:spacing w:after="0" w:line="209" w:lineRule="exact"/>
        <w:rPr>
          <w:sz w:val="20"/>
          <w:szCs w:val="20"/>
          <w:color w:val="auto"/>
        </w:rPr>
      </w:pPr>
    </w:p>
    <w:p>
      <w:pPr>
        <w:ind w:left="2760" w:right="20"/>
        <w:spacing w:after="0" w:line="300" w:lineRule="auto"/>
        <w:rPr>
          <w:sz w:val="20"/>
          <w:szCs w:val="20"/>
          <w:color w:val="auto"/>
        </w:rPr>
      </w:pPr>
      <w:r>
        <w:rPr>
          <w:rFonts w:ascii="Arial" w:cs="Arial" w:eastAsia="Arial" w:hAnsi="Arial"/>
          <w:sz w:val="14"/>
          <w:szCs w:val="14"/>
          <w:b w:val="1"/>
          <w:bCs w:val="1"/>
          <w:color w:val="auto"/>
        </w:rPr>
        <w:t>Mr. Powell has been associated with Baylor University Medical Center since 1980 when he was named president and chief executive officer. Mr. Powell retired from his position as Chairman of Baylor Health Care System on August 1, 2001. Prior to joining Baylor, he was president of Hendrick Medical Center in Abilene, Texas. He is a director of Comerica Bank-Texas, U.S. Oncology, and United Surgical Partners International and a fellow of the American College of Health Care Executives.</w:t>
      </w:r>
    </w:p>
    <w:p>
      <w:pPr>
        <w:ind w:left="2760" w:right="40"/>
        <w:spacing w:after="0" w:line="278" w:lineRule="auto"/>
        <w:rPr>
          <w:sz w:val="20"/>
          <w:szCs w:val="20"/>
          <w:color w:val="auto"/>
        </w:rPr>
      </w:pPr>
      <w:r>
        <w:rPr>
          <w:rFonts w:ascii="Arial" w:cs="Arial" w:eastAsia="Arial" w:hAnsi="Arial"/>
          <w:sz w:val="16"/>
          <w:szCs w:val="16"/>
          <w:b w:val="1"/>
          <w:bCs w:val="1"/>
          <w:color w:val="auto"/>
        </w:rPr>
        <w:t>Mr. Powell is a graduate of Baylor University. He received a master's degree in hospital administration from the University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184785</wp:posOffset>
            </wp:positionV>
            <wp:extent cx="726249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760"/>
        <w:spacing w:after="0"/>
        <w:tabs>
          <w:tab w:leader="none" w:pos="5700" w:val="left"/>
          <w:tab w:leader="none" w:pos="7340" w:val="left"/>
        </w:tabs>
        <w:rPr>
          <w:sz w:val="20"/>
          <w:szCs w:val="20"/>
          <w:color w:val="auto"/>
        </w:rPr>
      </w:pPr>
      <w:r>
        <w:rPr>
          <w:rFonts w:ascii="Arial" w:cs="Arial" w:eastAsia="Arial" w:hAnsi="Arial"/>
          <w:sz w:val="16"/>
          <w:szCs w:val="16"/>
          <w:b w:val="1"/>
          <w:bCs w:val="1"/>
          <w:color w:val="2B85FF"/>
        </w:rPr>
        <w:t>Addison Barry Rand</w:t>
      </w:r>
      <w:r>
        <w:rPr>
          <w:sz w:val="20"/>
          <w:szCs w:val="20"/>
          <w:color w:val="auto"/>
        </w:rPr>
        <w:tab/>
      </w:r>
      <w:r>
        <w:rPr>
          <w:rFonts w:ascii="Arial" w:cs="Arial" w:eastAsia="Arial" w:hAnsi="Arial"/>
          <w:sz w:val="16"/>
          <w:szCs w:val="16"/>
          <w:b w:val="1"/>
          <w:bCs w:val="1"/>
          <w:color w:val="2B85FF"/>
        </w:rPr>
        <w:t>Age 57</w:t>
      </w:r>
      <w:r>
        <w:rPr>
          <w:sz w:val="20"/>
          <w:szCs w:val="20"/>
          <w:color w:val="auto"/>
        </w:rPr>
        <w:tab/>
      </w:r>
      <w:r>
        <w:rPr>
          <w:rFonts w:ascii="Arial" w:cs="Arial" w:eastAsia="Arial" w:hAnsi="Arial"/>
          <w:sz w:val="14"/>
          <w:szCs w:val="14"/>
          <w:b w:val="1"/>
          <w:bCs w:val="1"/>
          <w:color w:val="2B85FF"/>
        </w:rPr>
        <w:t>Director since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063625" cy="1063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63625" cy="1063625"/>
                    </a:xfrm>
                    <a:prstGeom prst="rect">
                      <a:avLst/>
                    </a:prstGeom>
                    <a:noFill/>
                  </pic:spPr>
                </pic:pic>
              </a:graphicData>
            </a:graphic>
          </wp:anchor>
        </w:drawing>
      </w:r>
    </w:p>
    <w:p>
      <w:pPr>
        <w:spacing w:after="0" w:line="197" w:lineRule="exact"/>
        <w:rPr>
          <w:sz w:val="20"/>
          <w:szCs w:val="20"/>
          <w:color w:val="auto"/>
        </w:rPr>
      </w:pPr>
    </w:p>
    <w:p>
      <w:pPr>
        <w:ind w:left="2760" w:right="200"/>
        <w:spacing w:after="0" w:line="287" w:lineRule="auto"/>
        <w:rPr>
          <w:sz w:val="20"/>
          <w:szCs w:val="20"/>
          <w:color w:val="auto"/>
        </w:rPr>
      </w:pPr>
      <w:r>
        <w:rPr>
          <w:rFonts w:ascii="Arial" w:cs="Arial" w:eastAsia="Arial" w:hAnsi="Arial"/>
          <w:sz w:val="16"/>
          <w:szCs w:val="16"/>
          <w:i w:val="1"/>
          <w:iCs w:val="1"/>
          <w:color w:val="2B85FF"/>
        </w:rPr>
        <w:t>Former Chairman and Chief Executive Officer, Avis Group Holdings, Inc., Garden City, New York (Automotive Transportation and Vehicle Management Services)</w:t>
      </w:r>
    </w:p>
    <w:p>
      <w:pPr>
        <w:spacing w:after="0" w:line="152" w:lineRule="exact"/>
        <w:rPr>
          <w:sz w:val="20"/>
          <w:szCs w:val="20"/>
          <w:color w:val="auto"/>
        </w:rPr>
      </w:pPr>
    </w:p>
    <w:p>
      <w:pPr>
        <w:ind w:left="2760" w:right="200"/>
        <w:spacing w:after="0" w:line="308" w:lineRule="auto"/>
        <w:rPr>
          <w:sz w:val="20"/>
          <w:szCs w:val="20"/>
          <w:color w:val="auto"/>
        </w:rPr>
      </w:pPr>
      <w:r>
        <w:rPr>
          <w:rFonts w:ascii="Arial" w:cs="Arial" w:eastAsia="Arial" w:hAnsi="Arial"/>
          <w:sz w:val="14"/>
          <w:szCs w:val="14"/>
          <w:b w:val="1"/>
          <w:bCs w:val="1"/>
          <w:color w:val="auto"/>
        </w:rPr>
        <w:t>Mr. Rand served as chairman and chief executive officer of Avis Group Holdings, Inc. from November 1999 to March 2001. He served as executive vice president of Worldwide Operations, Xerox Corporation (a document processing, products and services company), from 1992 through 1998. Mr. Rand earned a bachelor's degree from American University and master's degrees in business administration and management sciences from Stanford University. He has also been awarded several honorary doctorate degrees. Mr. Rand serves as a director of Agilent Technologies and AT&amp;T Wireless Services, Inc. He is also a member of the board of directors of the Urban Family Institute and a member of the Board of Trustees for Howard University. In 1993, he was elected to the National Sales/Marketing Hall of Fame.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7262495"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343535</wp:posOffset>
            </wp:positionV>
            <wp:extent cx="726249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760"/>
        <w:spacing w:after="0"/>
        <w:tabs>
          <w:tab w:leader="none" w:pos="5440" w:val="left"/>
          <w:tab w:leader="none" w:pos="7240" w:val="left"/>
        </w:tabs>
        <w:rPr>
          <w:sz w:val="20"/>
          <w:szCs w:val="20"/>
          <w:color w:val="auto"/>
        </w:rPr>
      </w:pPr>
      <w:r>
        <w:rPr>
          <w:rFonts w:ascii="Arial" w:cs="Arial" w:eastAsia="Arial" w:hAnsi="Arial"/>
          <w:sz w:val="16"/>
          <w:szCs w:val="16"/>
          <w:b w:val="1"/>
          <w:bCs w:val="1"/>
          <w:color w:val="2B85FF"/>
        </w:rPr>
        <w:t>W. Ann Reynolds, Ph.D.</w:t>
      </w:r>
      <w:r>
        <w:rPr>
          <w:sz w:val="20"/>
          <w:szCs w:val="20"/>
          <w:color w:val="auto"/>
        </w:rPr>
        <w:tab/>
      </w:r>
      <w:r>
        <w:rPr>
          <w:rFonts w:ascii="Arial" w:cs="Arial" w:eastAsia="Arial" w:hAnsi="Arial"/>
          <w:sz w:val="16"/>
          <w:szCs w:val="16"/>
          <w:b w:val="1"/>
          <w:bCs w:val="1"/>
          <w:color w:val="2B85FF"/>
        </w:rPr>
        <w:t>Age 64</w:t>
      </w:r>
      <w:r>
        <w:rPr>
          <w:sz w:val="20"/>
          <w:szCs w:val="20"/>
          <w:color w:val="auto"/>
        </w:rPr>
        <w:tab/>
      </w:r>
      <w:r>
        <w:rPr>
          <w:rFonts w:ascii="Arial" w:cs="Arial" w:eastAsia="Arial" w:hAnsi="Arial"/>
          <w:sz w:val="14"/>
          <w:szCs w:val="14"/>
          <w:b w:val="1"/>
          <w:bCs w:val="1"/>
          <w:color w:val="2B85FF"/>
        </w:rPr>
        <w:t>Director since 1980</w:t>
      </w:r>
    </w:p>
    <w:p>
      <w:pPr>
        <w:spacing w:after="0" w:line="217" w:lineRule="exact"/>
        <w:rPr>
          <w:sz w:val="20"/>
          <w:szCs w:val="20"/>
          <w:color w:val="auto"/>
        </w:rPr>
      </w:pPr>
    </w:p>
    <w:p>
      <w:pPr>
        <w:ind w:left="2760"/>
        <w:spacing w:after="0"/>
        <w:rPr>
          <w:sz w:val="20"/>
          <w:szCs w:val="20"/>
          <w:color w:val="auto"/>
        </w:rPr>
      </w:pPr>
      <w:r>
        <w:rPr>
          <w:rFonts w:ascii="Arial" w:cs="Arial" w:eastAsia="Arial" w:hAnsi="Arial"/>
          <w:sz w:val="16"/>
          <w:szCs w:val="16"/>
          <w:i w:val="1"/>
          <w:iCs w:val="1"/>
          <w:color w:val="2B85FF"/>
        </w:rPr>
        <w:t>President, The University of Alabama at Birmingham, Birmingham, Alabama</w:t>
      </w:r>
    </w:p>
    <w:p>
      <w:pPr>
        <w:spacing w:after="0" w:line="209" w:lineRule="exact"/>
        <w:rPr>
          <w:sz w:val="20"/>
          <w:szCs w:val="20"/>
          <w:color w:val="auto"/>
        </w:rPr>
      </w:pPr>
    </w:p>
    <w:p>
      <w:pPr>
        <w:ind w:left="2760" w:right="140"/>
        <w:spacing w:after="0" w:line="368" w:lineRule="auto"/>
        <w:rPr>
          <w:sz w:val="20"/>
          <w:szCs w:val="20"/>
          <w:color w:val="auto"/>
        </w:rPr>
      </w:pPr>
      <w:r>
        <w:rPr>
          <w:rFonts w:ascii="Arial" w:cs="Arial" w:eastAsia="Arial" w:hAnsi="Arial"/>
          <w:sz w:val="14"/>
          <w:szCs w:val="14"/>
          <w:b w:val="1"/>
          <w:bCs w:val="1"/>
          <w:color w:val="auto"/>
        </w:rPr>
        <w:t>In 1997, Dr. Reynolds was appointed president of The University of Alabama at Birmingham. From 1990 to 1997, she served as chancellor of The City University of New York. Prior to that, Dr. Reynolds served as chancellor of The California State</w:t>
      </w:r>
    </w:p>
    <w:p>
      <w:pPr>
        <w:sectPr>
          <w:pgSz w:w="11900" w:h="16838" w:orient="portrait"/>
          <w:cols w:equalWidth="0" w:num="1">
            <w:col w:w="11420"/>
          </w:cols>
          <w:pgMar w:left="240" w:top="131" w:right="239" w:bottom="0" w:gutter="0" w:footer="0" w:header="0"/>
        </w:sectPr>
      </w:pPr>
    </w:p>
    <w:bookmarkStart w:id="6" w:name="page7"/>
    <w:bookmarkEnd w:id="6"/>
    <w:p>
      <w:pPr>
        <w:jc w:val="both"/>
        <w:ind w:left="2760" w:right="20"/>
        <w:spacing w:after="0" w:line="301" w:lineRule="auto"/>
        <w:rPr>
          <w:sz w:val="20"/>
          <w:szCs w:val="20"/>
          <w:color w:val="auto"/>
        </w:rPr>
      </w:pPr>
      <w:r>
        <w:rPr>
          <w:rFonts w:ascii="Arial" w:cs="Arial" w:eastAsia="Arial" w:hAnsi="Arial"/>
          <w:sz w:val="14"/>
          <w:szCs w:val="14"/>
          <w:b w:val="1"/>
          <w:bCs w:val="1"/>
          <w:color w:val="auto"/>
        </w:rPr>
        <w:t>University, chief academic officer of Ohio State University and associate vice chancellor for research and dean of the graduate college of the University of Illinois Medical Center. She also held appointments as professor of anatomy, research professor of obstetrics and gynecology, and acting associate dean for academic affairs at the University of Illinois College of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-375920</wp:posOffset>
            </wp:positionV>
            <wp:extent cx="1048385" cy="10636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48385" cy="1063625"/>
                    </a:xfrm>
                    <a:prstGeom prst="rect">
                      <a:avLst/>
                    </a:prstGeom>
                    <a:noFill/>
                  </pic:spPr>
                </pic:pic>
              </a:graphicData>
            </a:graphic>
          </wp:anchor>
        </w:drawing>
      </w:r>
    </w:p>
    <w:p>
      <w:pPr>
        <w:ind w:left="2760" w:right="500"/>
        <w:spacing w:after="0" w:line="312" w:lineRule="auto"/>
        <w:rPr>
          <w:sz w:val="20"/>
          <w:szCs w:val="20"/>
          <w:color w:val="auto"/>
        </w:rPr>
      </w:pPr>
      <w:r>
        <w:rPr>
          <w:rFonts w:ascii="Arial" w:cs="Arial" w:eastAsia="Arial" w:hAnsi="Arial"/>
          <w:sz w:val="15"/>
          <w:szCs w:val="15"/>
          <w:b w:val="1"/>
          <w:bCs w:val="1"/>
          <w:color w:val="auto"/>
        </w:rPr>
        <w:t>Dr. Reynolds is a graduate of Emporia State University (Kansas) and holds M.S. and Ph.D. degrees in zoology from the University of Iowa. She is also a director of Humana Inc., Maytag Corporation, and Owens Corning.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604520</wp:posOffset>
            </wp:positionV>
            <wp:extent cx="7262495"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60"/>
        <w:spacing w:after="0"/>
        <w:tabs>
          <w:tab w:leader="none" w:pos="5500" w:val="left"/>
          <w:tab w:leader="none" w:pos="7260" w:val="left"/>
        </w:tabs>
        <w:rPr>
          <w:sz w:val="20"/>
          <w:szCs w:val="20"/>
          <w:color w:val="auto"/>
        </w:rPr>
      </w:pPr>
      <w:r>
        <w:rPr>
          <w:rFonts w:ascii="Arial" w:cs="Arial" w:eastAsia="Arial" w:hAnsi="Arial"/>
          <w:sz w:val="16"/>
          <w:szCs w:val="16"/>
          <w:b w:val="1"/>
          <w:bCs w:val="1"/>
          <w:color w:val="2B85FF"/>
        </w:rPr>
        <w:t>Roy S. Roberts</w:t>
      </w:r>
      <w:r>
        <w:rPr>
          <w:sz w:val="20"/>
          <w:szCs w:val="20"/>
          <w:color w:val="auto"/>
        </w:rPr>
        <w:tab/>
      </w:r>
      <w:r>
        <w:rPr>
          <w:rFonts w:ascii="Arial" w:cs="Arial" w:eastAsia="Arial" w:hAnsi="Arial"/>
          <w:sz w:val="16"/>
          <w:szCs w:val="16"/>
          <w:b w:val="1"/>
          <w:bCs w:val="1"/>
          <w:color w:val="2B85FF"/>
        </w:rPr>
        <w:t>Age 62</w:t>
      </w:r>
      <w:r>
        <w:rPr>
          <w:sz w:val="20"/>
          <w:szCs w:val="20"/>
          <w:color w:val="auto"/>
        </w:rPr>
        <w:tab/>
      </w:r>
      <w:r>
        <w:rPr>
          <w:rFonts w:ascii="Arial" w:cs="Arial" w:eastAsia="Arial" w:hAnsi="Arial"/>
          <w:sz w:val="14"/>
          <w:szCs w:val="14"/>
          <w:b w:val="1"/>
          <w:bCs w:val="1"/>
          <w:color w:val="2B85FF"/>
        </w:rPr>
        <w:t>Director since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071880" cy="1071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71880" cy="1071880"/>
                    </a:xfrm>
                    <a:prstGeom prst="rect">
                      <a:avLst/>
                    </a:prstGeom>
                    <a:noFill/>
                  </pic:spPr>
                </pic:pic>
              </a:graphicData>
            </a:graphic>
          </wp:anchor>
        </w:drawing>
      </w:r>
    </w:p>
    <w:p>
      <w:pPr>
        <w:spacing w:after="0" w:line="197" w:lineRule="exact"/>
        <w:rPr>
          <w:sz w:val="20"/>
          <w:szCs w:val="20"/>
          <w:color w:val="auto"/>
        </w:rPr>
      </w:pPr>
    </w:p>
    <w:p>
      <w:pPr>
        <w:ind w:left="2760"/>
        <w:spacing w:after="0" w:line="287" w:lineRule="auto"/>
        <w:rPr>
          <w:sz w:val="20"/>
          <w:szCs w:val="20"/>
          <w:color w:val="auto"/>
        </w:rPr>
      </w:pPr>
      <w:r>
        <w:rPr>
          <w:rFonts w:ascii="Arial" w:cs="Arial" w:eastAsia="Arial" w:hAnsi="Arial"/>
          <w:sz w:val="16"/>
          <w:szCs w:val="16"/>
          <w:i w:val="1"/>
          <w:iCs w:val="1"/>
          <w:color w:val="2B85FF"/>
        </w:rPr>
        <w:t>Retired Group Vice President, North American Vehicle Sales, Service and Marketing, General Motors Corporation, Detroit, Michigan (Manufacturer of Motor Vehicles)</w:t>
      </w:r>
    </w:p>
    <w:p>
      <w:pPr>
        <w:spacing w:after="0" w:line="152" w:lineRule="exact"/>
        <w:rPr>
          <w:sz w:val="20"/>
          <w:szCs w:val="20"/>
          <w:color w:val="auto"/>
        </w:rPr>
      </w:pPr>
    </w:p>
    <w:p>
      <w:pPr>
        <w:ind w:left="2760" w:right="80"/>
        <w:spacing w:after="0" w:line="282" w:lineRule="auto"/>
        <w:rPr>
          <w:sz w:val="20"/>
          <w:szCs w:val="20"/>
          <w:color w:val="auto"/>
        </w:rPr>
      </w:pPr>
      <w:r>
        <w:rPr>
          <w:rFonts w:ascii="Arial" w:cs="Arial" w:eastAsia="Arial" w:hAnsi="Arial"/>
          <w:sz w:val="15"/>
          <w:szCs w:val="15"/>
          <w:b w:val="1"/>
          <w:bCs w:val="1"/>
          <w:color w:val="auto"/>
        </w:rPr>
        <w:t>Mr. Roberts was elected group vice president for North American Vehicle Sales, Service and Marketing of General Motors Corporation in October 1998 and served in that position until April 2000 when he retired. He was vice president and general manager in charge of Field Sales, Service and Parts for the Vehicle Sales, Service and Marketing Group from August 1998 to October 1998, general manager of the Pontiac-GMC Division from February 1996 to October 1998, and general manager of the GMC Truck Division from October 1992 to February 1996. Mr. Roberts first joined General Motors Corporation in 1977 and became a corporate officer of General Motors Corporation in April 1987. Mr. Roberts earned a bachelor's degree from Western Michigan University. He serves as a director of Burlington Northern Santa Fe Corporation; as Trustee Emeritus at Western Michigan University; on the National Board of Directors for the Boy Scouts of America; and on the National Board of The College Fund/UNCF.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187325</wp:posOffset>
            </wp:positionV>
            <wp:extent cx="7262495"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760"/>
        <w:spacing w:after="0"/>
        <w:tabs>
          <w:tab w:leader="none" w:pos="5560" w:val="left"/>
          <w:tab w:leader="none" w:pos="7360" w:val="left"/>
        </w:tabs>
        <w:rPr>
          <w:sz w:val="20"/>
          <w:szCs w:val="20"/>
          <w:color w:val="auto"/>
        </w:rPr>
      </w:pPr>
      <w:r>
        <w:rPr>
          <w:rFonts w:ascii="Arial" w:cs="Arial" w:eastAsia="Arial" w:hAnsi="Arial"/>
          <w:sz w:val="16"/>
          <w:szCs w:val="16"/>
          <w:b w:val="1"/>
          <w:bCs w:val="1"/>
          <w:color w:val="2B85FF"/>
        </w:rPr>
        <w:t>William D. Smithburg</w:t>
      </w:r>
      <w:r>
        <w:rPr>
          <w:sz w:val="20"/>
          <w:szCs w:val="20"/>
          <w:color w:val="auto"/>
        </w:rPr>
        <w:tab/>
      </w:r>
      <w:r>
        <w:rPr>
          <w:rFonts w:ascii="Arial" w:cs="Arial" w:eastAsia="Arial" w:hAnsi="Arial"/>
          <w:sz w:val="16"/>
          <w:szCs w:val="16"/>
          <w:b w:val="1"/>
          <w:bCs w:val="1"/>
          <w:color w:val="2B85FF"/>
        </w:rPr>
        <w:t>Age 63</w:t>
      </w:r>
      <w:r>
        <w:rPr>
          <w:sz w:val="20"/>
          <w:szCs w:val="20"/>
          <w:color w:val="auto"/>
        </w:rPr>
        <w:tab/>
      </w:r>
      <w:r>
        <w:rPr>
          <w:rFonts w:ascii="Arial" w:cs="Arial" w:eastAsia="Arial" w:hAnsi="Arial"/>
          <w:sz w:val="14"/>
          <w:szCs w:val="14"/>
          <w:b w:val="1"/>
          <w:bCs w:val="1"/>
          <w:color w:val="2B85FF"/>
        </w:rPr>
        <w:t>Director since 1982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063625" cy="1063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63625" cy="1063625"/>
                    </a:xfrm>
                    <a:prstGeom prst="rect">
                      <a:avLst/>
                    </a:prstGeom>
                    <a:noFill/>
                  </pic:spPr>
                </pic:pic>
              </a:graphicData>
            </a:graphic>
          </wp:anchor>
        </w:drawing>
      </w:r>
    </w:p>
    <w:p>
      <w:pPr>
        <w:spacing w:after="0" w:line="197" w:lineRule="exact"/>
        <w:rPr>
          <w:sz w:val="20"/>
          <w:szCs w:val="20"/>
          <w:color w:val="auto"/>
        </w:rPr>
      </w:pPr>
    </w:p>
    <w:p>
      <w:pPr>
        <w:ind w:left="2760" w:right="820"/>
        <w:spacing w:after="0" w:line="287" w:lineRule="auto"/>
        <w:rPr>
          <w:sz w:val="20"/>
          <w:szCs w:val="20"/>
          <w:color w:val="auto"/>
        </w:rPr>
      </w:pPr>
      <w:r>
        <w:rPr>
          <w:rFonts w:ascii="Arial" w:cs="Arial" w:eastAsia="Arial" w:hAnsi="Arial"/>
          <w:sz w:val="16"/>
          <w:szCs w:val="16"/>
          <w:i w:val="1"/>
          <w:iCs w:val="1"/>
          <w:color w:val="2B85FF"/>
        </w:rPr>
        <w:t>Retired Chairman, President and Chief Executive Officer, The Quaker Oats Company, Chicago, Illinois (Worldwide Food Manufacturer and Marketer of Beverages and Grain-Based Products)</w:t>
      </w:r>
    </w:p>
    <w:p>
      <w:pPr>
        <w:spacing w:after="0" w:line="152" w:lineRule="exact"/>
        <w:rPr>
          <w:sz w:val="20"/>
          <w:szCs w:val="20"/>
          <w:color w:val="auto"/>
        </w:rPr>
      </w:pPr>
    </w:p>
    <w:p>
      <w:pPr>
        <w:ind w:left="2760"/>
        <w:spacing w:after="0" w:line="265" w:lineRule="auto"/>
        <w:rPr>
          <w:sz w:val="20"/>
          <w:szCs w:val="20"/>
          <w:color w:val="auto"/>
        </w:rPr>
      </w:pPr>
      <w:r>
        <w:rPr>
          <w:rFonts w:ascii="Arial" w:cs="Arial" w:eastAsia="Arial" w:hAnsi="Arial"/>
          <w:sz w:val="16"/>
          <w:szCs w:val="16"/>
          <w:b w:val="1"/>
          <w:bCs w:val="1"/>
          <w:color w:val="auto"/>
        </w:rPr>
        <w:t>Mr. Smithburg retired from Quaker Oats in October 1997. Mr. Smithburg joined Quaker Oats in 1966 and became president and chief executive officer in 1981, and chairman and chief executive officer in 1983 and also served as president from November 1990 to January 1993 and again from November 1995. Mr. Smithburg was elected to the Quaker board in 1978 and served on its executive committee until he retired. He is a director of Northern Trust Corporation and Corning Incorporated. He is a member of the board of trustees of Northwestern University. Mr. Smithburg earned a B.S. degree from DePaul University and an M.B.A. degree from Northwestern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62495"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343535</wp:posOffset>
            </wp:positionV>
            <wp:extent cx="7262495"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760"/>
        <w:spacing w:after="0"/>
        <w:tabs>
          <w:tab w:leader="none" w:pos="5580" w:val="left"/>
          <w:tab w:leader="none" w:pos="7340" w:val="left"/>
        </w:tabs>
        <w:rPr>
          <w:sz w:val="20"/>
          <w:szCs w:val="20"/>
          <w:color w:val="auto"/>
        </w:rPr>
      </w:pPr>
      <w:r>
        <w:rPr>
          <w:rFonts w:ascii="Arial" w:cs="Arial" w:eastAsia="Arial" w:hAnsi="Arial"/>
          <w:sz w:val="16"/>
          <w:szCs w:val="16"/>
          <w:b w:val="1"/>
          <w:bCs w:val="1"/>
          <w:color w:val="2B85FF"/>
        </w:rPr>
        <w:t>John R. Walter</w:t>
      </w:r>
      <w:r>
        <w:rPr>
          <w:sz w:val="20"/>
          <w:szCs w:val="20"/>
          <w:color w:val="auto"/>
        </w:rPr>
        <w:tab/>
      </w:r>
      <w:r>
        <w:rPr>
          <w:rFonts w:ascii="Arial" w:cs="Arial" w:eastAsia="Arial" w:hAnsi="Arial"/>
          <w:sz w:val="16"/>
          <w:szCs w:val="16"/>
          <w:b w:val="1"/>
          <w:bCs w:val="1"/>
          <w:color w:val="2B85FF"/>
        </w:rPr>
        <w:t>Age 55</w:t>
      </w:r>
      <w:r>
        <w:rPr>
          <w:sz w:val="20"/>
          <w:szCs w:val="20"/>
          <w:color w:val="auto"/>
        </w:rPr>
        <w:tab/>
      </w:r>
      <w:r>
        <w:rPr>
          <w:rFonts w:ascii="Arial" w:cs="Arial" w:eastAsia="Arial" w:hAnsi="Arial"/>
          <w:sz w:val="14"/>
          <w:szCs w:val="14"/>
          <w:b w:val="1"/>
          <w:bCs w:val="1"/>
          <w:color w:val="2B85FF"/>
        </w:rPr>
        <w:t>Director since 1990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071880" cy="1063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71880" cy="1063625"/>
                    </a:xfrm>
                    <a:prstGeom prst="rect">
                      <a:avLst/>
                    </a:prstGeom>
                    <a:noFill/>
                  </pic:spPr>
                </pic:pic>
              </a:graphicData>
            </a:graphic>
          </wp:anchor>
        </w:drawing>
      </w:r>
    </w:p>
    <w:p>
      <w:pPr>
        <w:spacing w:after="0" w:line="197" w:lineRule="exact"/>
        <w:rPr>
          <w:sz w:val="20"/>
          <w:szCs w:val="20"/>
          <w:color w:val="auto"/>
        </w:rPr>
      </w:pPr>
    </w:p>
    <w:p>
      <w:pPr>
        <w:ind w:left="2760" w:right="60"/>
        <w:spacing w:after="0" w:line="263" w:lineRule="auto"/>
        <w:rPr>
          <w:sz w:val="20"/>
          <w:szCs w:val="20"/>
          <w:color w:val="auto"/>
        </w:rPr>
      </w:pPr>
      <w:r>
        <w:rPr>
          <w:rFonts w:ascii="Arial" w:cs="Arial" w:eastAsia="Arial" w:hAnsi="Arial"/>
          <w:sz w:val="16"/>
          <w:szCs w:val="16"/>
          <w:i w:val="1"/>
          <w:iCs w:val="1"/>
          <w:color w:val="2B85FF"/>
        </w:rPr>
        <w:t>Retired President and Chief Operating Officer, AT&amp;T Corporation, Basking Ridge, New Jersey (Telecommunications Company); and Former Chairman and Chief Executive Officer,</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6"/>
          <w:szCs w:val="16"/>
          <w:i w:val="1"/>
          <w:iCs w:val="1"/>
          <w:color w:val="2B85FF"/>
        </w:rPr>
        <w:t>R. R. Donnelley &amp; Sons Company, Chicago, Illinois (Printing Company)</w:t>
      </w:r>
    </w:p>
    <w:p>
      <w:pPr>
        <w:spacing w:after="0" w:line="202"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Mr. Walter served as president and chief operating officer of AT&amp;T Corporation from October 1996 to July 1997. Prior to</w:t>
      </w:r>
    </w:p>
    <w:p>
      <w:pPr>
        <w:spacing w:after="0" w:line="37" w:lineRule="exact"/>
        <w:rPr>
          <w:sz w:val="20"/>
          <w:szCs w:val="20"/>
          <w:color w:val="auto"/>
        </w:rPr>
      </w:pPr>
    </w:p>
    <w:p>
      <w:pPr>
        <w:ind w:left="2760"/>
        <w:spacing w:after="0"/>
        <w:rPr>
          <w:sz w:val="20"/>
          <w:szCs w:val="20"/>
          <w:color w:val="auto"/>
        </w:rPr>
      </w:pPr>
      <w:r>
        <w:rPr>
          <w:rFonts w:ascii="Arial" w:cs="Arial" w:eastAsia="Arial" w:hAnsi="Arial"/>
          <w:sz w:val="14"/>
          <w:szCs w:val="14"/>
          <w:b w:val="1"/>
          <w:bCs w:val="1"/>
          <w:color w:val="auto"/>
        </w:rPr>
        <w:t>that time, he was chairman, president and chief executive officer of R. R. Donnelley &amp; Sons Company, a printing company.</w:t>
      </w:r>
    </w:p>
    <w:p>
      <w:pPr>
        <w:spacing w:after="0" w:line="38" w:lineRule="exact"/>
        <w:rPr>
          <w:sz w:val="20"/>
          <w:szCs w:val="20"/>
          <w:color w:val="auto"/>
        </w:rPr>
      </w:pPr>
    </w:p>
    <w:p>
      <w:pPr>
        <w:ind w:left="2760"/>
        <w:spacing w:after="0"/>
        <w:rPr>
          <w:sz w:val="20"/>
          <w:szCs w:val="20"/>
          <w:color w:val="auto"/>
        </w:rPr>
      </w:pPr>
      <w:r>
        <w:rPr>
          <w:rFonts w:ascii="Arial" w:cs="Arial" w:eastAsia="Arial" w:hAnsi="Arial"/>
          <w:sz w:val="14"/>
          <w:szCs w:val="14"/>
          <w:b w:val="1"/>
          <w:bCs w:val="1"/>
          <w:color w:val="auto"/>
        </w:rPr>
        <w:t>He was elected chairman of the board and chief executive officer in 1989 and president in 1987. He holds a bachelor's degree</w:t>
      </w:r>
    </w:p>
    <w:p>
      <w:pPr>
        <w:spacing w:after="0" w:line="38" w:lineRule="exact"/>
        <w:rPr>
          <w:sz w:val="20"/>
          <w:szCs w:val="20"/>
          <w:color w:val="auto"/>
        </w:rPr>
      </w:pPr>
    </w:p>
    <w:p>
      <w:pPr>
        <w:ind w:left="2760"/>
        <w:spacing w:after="0"/>
        <w:rPr>
          <w:sz w:val="20"/>
          <w:szCs w:val="20"/>
          <w:color w:val="auto"/>
        </w:rPr>
      </w:pPr>
      <w:r>
        <w:rPr>
          <w:rFonts w:ascii="Arial" w:cs="Arial" w:eastAsia="Arial" w:hAnsi="Arial"/>
          <w:sz w:val="16"/>
          <w:szCs w:val="16"/>
          <w:b w:val="1"/>
          <w:bCs w:val="1"/>
          <w:color w:val="auto"/>
        </w:rPr>
        <w:t>from Miami University of Ohio. Mr. Walter serves as a director of Deere &amp; Company, Jones Lang LaSalle, Inc.,</w:t>
      </w:r>
    </w:p>
    <w:p>
      <w:pPr>
        <w:spacing w:after="0" w:line="15" w:lineRule="exact"/>
        <w:rPr>
          <w:sz w:val="20"/>
          <w:szCs w:val="20"/>
          <w:color w:val="auto"/>
        </w:rPr>
      </w:pPr>
    </w:p>
    <w:p>
      <w:pPr>
        <w:ind w:left="2760"/>
        <w:spacing w:after="0"/>
        <w:rPr>
          <w:sz w:val="20"/>
          <w:szCs w:val="20"/>
          <w:color w:val="auto"/>
        </w:rPr>
      </w:pPr>
      <w:r>
        <w:rPr>
          <w:rFonts w:ascii="Arial" w:cs="Arial" w:eastAsia="Arial" w:hAnsi="Arial"/>
          <w:sz w:val="14"/>
          <w:szCs w:val="14"/>
          <w:b w:val="1"/>
          <w:bCs w:val="1"/>
          <w:color w:val="auto"/>
        </w:rPr>
        <w:t>Manpower, Inc., Applied Graphics Technologies and SNP Corporation of Singapore. He is a trustee of the Chicago Symphony</w:t>
      </w:r>
    </w:p>
    <w:p>
      <w:pPr>
        <w:spacing w:after="0" w:line="38" w:lineRule="exact"/>
        <w:rPr>
          <w:sz w:val="20"/>
          <w:szCs w:val="20"/>
          <w:color w:val="auto"/>
        </w:rPr>
      </w:pPr>
    </w:p>
    <w:p>
      <w:pPr>
        <w:ind w:left="2760"/>
        <w:spacing w:after="0"/>
        <w:rPr>
          <w:sz w:val="20"/>
          <w:szCs w:val="20"/>
          <w:color w:val="auto"/>
        </w:rPr>
      </w:pPr>
      <w:r>
        <w:rPr>
          <w:rFonts w:ascii="Arial" w:cs="Arial" w:eastAsia="Arial" w:hAnsi="Arial"/>
          <w:sz w:val="16"/>
          <w:szCs w:val="16"/>
          <w:b w:val="1"/>
          <w:bCs w:val="1"/>
          <w:color w:val="auto"/>
        </w:rPr>
        <w:t>Orchestra and Northwestern University, as well as a director of Evanston Northwestern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212725</wp:posOffset>
            </wp:positionV>
            <wp:extent cx="7262495"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760"/>
        <w:spacing w:after="0"/>
        <w:tabs>
          <w:tab w:leader="none" w:pos="5580" w:val="left"/>
          <w:tab w:leader="none" w:pos="7340" w:val="left"/>
        </w:tabs>
        <w:rPr>
          <w:sz w:val="20"/>
          <w:szCs w:val="20"/>
          <w:color w:val="auto"/>
        </w:rPr>
      </w:pPr>
      <w:r>
        <w:rPr>
          <w:rFonts w:ascii="Arial" w:cs="Arial" w:eastAsia="Arial" w:hAnsi="Arial"/>
          <w:sz w:val="16"/>
          <w:szCs w:val="16"/>
          <w:b w:val="1"/>
          <w:bCs w:val="1"/>
          <w:color w:val="2B85FF"/>
        </w:rPr>
        <w:t>Miles D. White</w:t>
      </w:r>
      <w:r>
        <w:rPr>
          <w:sz w:val="20"/>
          <w:szCs w:val="20"/>
          <w:color w:val="auto"/>
        </w:rPr>
        <w:tab/>
      </w:r>
      <w:r>
        <w:rPr>
          <w:rFonts w:ascii="Arial" w:cs="Arial" w:eastAsia="Arial" w:hAnsi="Arial"/>
          <w:sz w:val="16"/>
          <w:szCs w:val="16"/>
          <w:b w:val="1"/>
          <w:bCs w:val="1"/>
          <w:color w:val="2B85FF"/>
        </w:rPr>
        <w:t>Age 46</w:t>
      </w:r>
      <w:r>
        <w:rPr>
          <w:sz w:val="20"/>
          <w:szCs w:val="20"/>
          <w:color w:val="auto"/>
        </w:rPr>
        <w:tab/>
      </w:r>
      <w:r>
        <w:rPr>
          <w:rFonts w:ascii="Arial" w:cs="Arial" w:eastAsia="Arial" w:hAnsi="Arial"/>
          <w:sz w:val="14"/>
          <w:szCs w:val="14"/>
          <w:b w:val="1"/>
          <w:bCs w:val="1"/>
          <w:color w:val="2B85FF"/>
        </w:rPr>
        <w:t>Director since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063625" cy="10636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63625" cy="1063625"/>
                    </a:xfrm>
                    <a:prstGeom prst="rect">
                      <a:avLst/>
                    </a:prstGeom>
                    <a:noFill/>
                  </pic:spPr>
                </pic:pic>
              </a:graphicData>
            </a:graphic>
          </wp:anchor>
        </w:drawing>
      </w:r>
    </w:p>
    <w:p>
      <w:pPr>
        <w:spacing w:after="0" w:line="197" w:lineRule="exact"/>
        <w:rPr>
          <w:sz w:val="20"/>
          <w:szCs w:val="20"/>
          <w:color w:val="auto"/>
        </w:rPr>
      </w:pPr>
    </w:p>
    <w:p>
      <w:pPr>
        <w:ind w:left="2760"/>
        <w:spacing w:after="0"/>
        <w:rPr>
          <w:sz w:val="20"/>
          <w:szCs w:val="20"/>
          <w:color w:val="auto"/>
        </w:rPr>
      </w:pPr>
      <w:r>
        <w:rPr>
          <w:rFonts w:ascii="Arial" w:cs="Arial" w:eastAsia="Arial" w:hAnsi="Arial"/>
          <w:sz w:val="16"/>
          <w:szCs w:val="16"/>
          <w:i w:val="1"/>
          <w:iCs w:val="1"/>
          <w:color w:val="2B85FF"/>
        </w:rPr>
        <w:t>Chairman of the Board and Chief Executive Officer, Abbott Laboratories</w:t>
      </w:r>
    </w:p>
    <w:p>
      <w:pPr>
        <w:spacing w:after="0" w:line="209" w:lineRule="exact"/>
        <w:rPr>
          <w:sz w:val="20"/>
          <w:szCs w:val="20"/>
          <w:color w:val="auto"/>
        </w:rPr>
      </w:pPr>
    </w:p>
    <w:p>
      <w:pPr>
        <w:ind w:left="2760" w:right="20"/>
        <w:spacing w:after="0" w:line="265" w:lineRule="auto"/>
        <w:rPr>
          <w:sz w:val="20"/>
          <w:szCs w:val="20"/>
          <w:color w:val="auto"/>
        </w:rPr>
      </w:pPr>
      <w:r>
        <w:rPr>
          <w:rFonts w:ascii="Arial" w:cs="Arial" w:eastAsia="Arial" w:hAnsi="Arial"/>
          <w:sz w:val="16"/>
          <w:szCs w:val="16"/>
          <w:b w:val="1"/>
          <w:bCs w:val="1"/>
          <w:color w:val="auto"/>
        </w:rPr>
        <w:t>Mr. White has served as Abbott's chairman of the board and chief executive officer since 1999. He served as an executive vice president of Abbott from 1998 to 1999, as senior vice president, diagnostics operations from 1994 to 1998, and as vice president, diagnostics systems operations from 1993 to 1994. Mr. White joined Abbott in 1984. He received both his bachelor's degree in mechanical engineering and M.B.A. degree from Stanford University. He serves on the board of trustees of The Field Museum in Chicago, the Joffrey Ballet of Chicago and The Culver Educational Foundation, and on the board of directors of Evanston Northwestern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7262495"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679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2495" cy="6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2B85FF"/>
        </w:rPr>
        <w:t>Committees of the Board of Directors</w:t>
      </w:r>
    </w:p>
    <w:p>
      <w:pPr>
        <w:spacing w:after="0" w:line="217" w:lineRule="exact"/>
        <w:rPr>
          <w:sz w:val="20"/>
          <w:szCs w:val="20"/>
          <w:color w:val="auto"/>
        </w:rPr>
      </w:pPr>
    </w:p>
    <w:p>
      <w:pPr>
        <w:ind w:right="680"/>
        <w:spacing w:after="0" w:line="287" w:lineRule="auto"/>
        <w:rPr>
          <w:sz w:val="20"/>
          <w:szCs w:val="20"/>
          <w:color w:val="auto"/>
        </w:rPr>
      </w:pPr>
      <w:r>
        <w:rPr>
          <w:rFonts w:ascii="Arial" w:cs="Arial" w:eastAsia="Arial" w:hAnsi="Arial"/>
          <w:sz w:val="16"/>
          <w:szCs w:val="16"/>
          <w:color w:val="auto"/>
        </w:rPr>
        <w:t>The board of directors, which held six meetings in 2001, has five committees established in Abbott's bylaws: the executive committee, audit committee, compensation committee, nominations and board affairs committee, and public policy committee.</w:t>
      </w:r>
    </w:p>
    <w:p>
      <w:pPr>
        <w:sectPr>
          <w:pgSz w:w="11900" w:h="16838" w:orient="portrait"/>
          <w:cols w:equalWidth="0" w:num="1">
            <w:col w:w="11420"/>
          </w:cols>
          <w:pgMar w:left="240" w:top="127" w:right="239" w:bottom="0" w:gutter="0" w:footer="0" w:header="0"/>
        </w:sectPr>
      </w:pPr>
    </w:p>
    <w:bookmarkStart w:id="7" w:name="page8"/>
    <w:bookmarkEnd w:id="7"/>
    <w:p>
      <w:pPr>
        <w:spacing w:after="0" w:line="48" w:lineRule="exact"/>
        <w:rPr>
          <w:sz w:val="20"/>
          <w:szCs w:val="20"/>
          <w:color w:val="auto"/>
        </w:rPr>
      </w:pPr>
    </w:p>
    <w:p>
      <w:pPr>
        <w:ind w:right="40"/>
        <w:spacing w:after="0" w:line="322" w:lineRule="auto"/>
        <w:rPr>
          <w:sz w:val="20"/>
          <w:szCs w:val="20"/>
          <w:color w:val="auto"/>
        </w:rPr>
      </w:pPr>
      <w:r>
        <w:rPr>
          <w:rFonts w:ascii="Arial" w:cs="Arial" w:eastAsia="Arial" w:hAnsi="Arial"/>
          <w:sz w:val="15"/>
          <w:szCs w:val="15"/>
          <w:color w:val="auto"/>
        </w:rPr>
        <w:t>The executive committee, whose members are M. D. White, chairman, H. L. Fuller, D. A. Jones, W. A. Reynolds, and W. D. Smithburg, did not hold any meetings in 2001. This committee may exercise all the authority of the board in the management of Abbott, except for matters expressly reserved by law for board action.</w:t>
      </w:r>
    </w:p>
    <w:p>
      <w:pPr>
        <w:spacing w:after="0" w:line="133" w:lineRule="exact"/>
        <w:rPr>
          <w:sz w:val="20"/>
          <w:szCs w:val="20"/>
          <w:color w:val="auto"/>
        </w:rPr>
      </w:pPr>
    </w:p>
    <w:p>
      <w:pPr>
        <w:jc w:val="both"/>
        <w:ind w:right="160"/>
        <w:spacing w:after="0" w:line="299" w:lineRule="auto"/>
        <w:rPr>
          <w:sz w:val="20"/>
          <w:szCs w:val="20"/>
          <w:color w:val="auto"/>
        </w:rPr>
      </w:pPr>
      <w:r>
        <w:rPr>
          <w:rFonts w:ascii="Arial" w:cs="Arial" w:eastAsia="Arial" w:hAnsi="Arial"/>
          <w:sz w:val="14"/>
          <w:szCs w:val="14"/>
          <w:color w:val="auto"/>
        </w:rPr>
        <w:t>The audit committee, whose members are W. A. Reynolds, chairman, R. S. Austin, D. A. L. Owen, B. Powell Jr., and J. R. Walter, held four meetings in 2001. This committee provides advice and assistance regarding accounting, auditing, and financial reporting practices of Abbott. Each year, it recommends to the board a firm of independent public accountants to serve as auditors. The audit committee reviews with such auditors the scope and results of their audit, fees for services, and independence in servicing Abbott.</w:t>
      </w:r>
    </w:p>
    <w:p>
      <w:pPr>
        <w:spacing w:after="0" w:line="1"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The committee also meets with Abbott's internal auditors to evaluate the effectiveness of the work they perform. The committee is governed by a written charter adopted by the board of directors. Each of the members of the audit committee is independent and financially literate, as required of audit committee members by the New York Stock Exchange. A copy of the report of the audit committee is on pages 17 and 18.</w:t>
      </w:r>
    </w:p>
    <w:p>
      <w:pPr>
        <w:spacing w:after="0" w:line="171"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The compensation committee, whose members are H. L. Fuller, chairman, J. M. Greenberg, B. Powell Jr., A. B. Rand, and W. D. Smithburg, held two meetings in 2001. This committee is responsible for setting and administering the policies and programs that govern both annual compensation and stock ownership programs. A copy of the report of the compensation committee is on pages 11 and 12.</w:t>
      </w:r>
    </w:p>
    <w:p>
      <w:pPr>
        <w:spacing w:after="0" w:line="16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nominations and board affairs committee, whose members are D. A. Jones, chairman, J. M. Greenberg, D. A. L. Owen, A. B. Rand, and R. S. Roberts, held two meetings in 2001. This committee develops general criteria regarding the qualifications and selection of board members and officers, recommends candidates for such positions to the board of directors, advises the board of directors with respect to the conduct of board activities, and assists the board in the evaluation of the board's own performance and the performance of the chairman of the board and chief executive officer. A shareholder may recommend persons as potential nominees for director by complying with the procedures on page 20.</w:t>
      </w:r>
    </w:p>
    <w:p>
      <w:pPr>
        <w:spacing w:after="0" w:line="172"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The public policy committee, whose members are W. D. Smithburg, chairman, D. A. Jones, W. A. Reynolds, R. S. Roberts, and J. R. Walter, held three meetings in 2001. This committee has an advisory role with respect to public policy, regulatory, and governmental affairs issues that affect Abbott.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average attendance of all directors at board and committee meetings in 2001 was 98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679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2495" cy="6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2B85FF"/>
        </w:rPr>
        <w:t>Compensation of Directors</w:t>
      </w:r>
    </w:p>
    <w:p>
      <w:pPr>
        <w:spacing w:after="0" w:line="217" w:lineRule="exact"/>
        <w:rPr>
          <w:sz w:val="20"/>
          <w:szCs w:val="20"/>
          <w:color w:val="auto"/>
        </w:rPr>
      </w:pPr>
    </w:p>
    <w:p>
      <w:pPr>
        <w:ind w:right="140"/>
        <w:spacing w:after="0" w:line="322" w:lineRule="auto"/>
        <w:rPr>
          <w:sz w:val="20"/>
          <w:szCs w:val="20"/>
          <w:color w:val="auto"/>
        </w:rPr>
      </w:pPr>
      <w:r>
        <w:rPr>
          <w:rFonts w:ascii="Arial" w:cs="Arial" w:eastAsia="Arial" w:hAnsi="Arial"/>
          <w:sz w:val="15"/>
          <w:szCs w:val="15"/>
          <w:color w:val="auto"/>
        </w:rPr>
        <w:t>Abbott employees are not compensated for serving on the board or board committees. Non-employee directors are compensated under the Abbott Laboratories Non-Employee Directors' Fee Plan in the amounts of $6,667 for each month of service as director and $667 for each month of service as a chairman of a board committee.</w:t>
      </w:r>
    </w:p>
    <w:p>
      <w:pPr>
        <w:spacing w:after="0" w:line="133"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Fees earned under this Plan are paid in cash to the director, paid in the form of non-qualified stock options (based on an independent appraisal of their fair market value), or deferred (as a non-funded obligation of Abbott or paid into a grantor trust established by the director) until payments commence (generally at age 65 or upon retirement from the board of directors). If the fees are deferred, the director may elect to have the fees credited to a stock equivalent account under which the fees accrue the same return they would have earned if invested in Abbott common shares. Interest is accrued annually on deferred fees not credited to a stock equivalent account.</w:t>
      </w:r>
    </w:p>
    <w:p>
      <w:pPr>
        <w:spacing w:after="0" w:line="156"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Under the Abbott Laboratories 1996 Incentive Stock Program, each non-employee director who is elected to the board of directors at the annual shareholder meeting receives a restricted stock award with a fair market value on the date of the award closest to, but not exceeding $65,000. In 2001, this was 1,429 shares. The non-employee directors are entitled to vote these shares and receive all dividends paid on the shares. The shares are nontransferable prior to termination, retirement from the board, death, or a change in control of Abbott.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262495"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679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2495" cy="6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2B85FF"/>
        </w:rPr>
        <w:t>Security Ownership of Executive Officers and Directors</w:t>
      </w:r>
    </w:p>
    <w:p>
      <w:pPr>
        <w:spacing w:after="0" w:line="217" w:lineRule="exact"/>
        <w:rPr>
          <w:sz w:val="20"/>
          <w:szCs w:val="20"/>
          <w:color w:val="auto"/>
        </w:rPr>
      </w:pPr>
    </w:p>
    <w:p>
      <w:pPr>
        <w:ind w:right="240"/>
        <w:spacing w:after="0" w:line="273" w:lineRule="auto"/>
        <w:rPr>
          <w:sz w:val="20"/>
          <w:szCs w:val="20"/>
          <w:color w:val="auto"/>
        </w:rPr>
      </w:pPr>
      <w:r>
        <w:rPr>
          <w:rFonts w:ascii="Arial" w:cs="Arial" w:eastAsia="Arial" w:hAnsi="Arial"/>
          <w:sz w:val="16"/>
          <w:szCs w:val="16"/>
          <w:color w:val="auto"/>
        </w:rPr>
        <w:t>The table below reflects the number of common shares beneficially owned by the chief executive officer and the four other most highly paid executive officers (the "named officers"), the directors, and all directors and executive officers of Abbott as a group as of January 31, 2002. It also reflects the number of equivalent stock units held by non-employee directors under the Abbott Laboratories Non-Employee Directors' Fee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172085</wp:posOffset>
            </wp:positionV>
            <wp:extent cx="7262495"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60" w:type="dxa"/>
            <w:vAlign w:val="bottom"/>
          </w:tcPr>
          <w:p>
            <w:pPr>
              <w:spacing w:after="0"/>
              <w:rPr>
                <w:sz w:val="12"/>
                <w:szCs w:val="12"/>
                <w:color w:val="auto"/>
              </w:rPr>
            </w:pPr>
          </w:p>
        </w:tc>
        <w:tc>
          <w:tcPr>
            <w:tcW w:w="5080" w:type="dxa"/>
            <w:vAlign w:val="bottom"/>
          </w:tcPr>
          <w:p>
            <w:pPr>
              <w:jc w:val="center"/>
              <w:ind w:left="3278"/>
              <w:spacing w:after="0"/>
              <w:rPr>
                <w:sz w:val="20"/>
                <w:szCs w:val="20"/>
                <w:color w:val="auto"/>
              </w:rPr>
            </w:pPr>
            <w:r>
              <w:rPr>
                <w:rFonts w:ascii="Arial" w:cs="Arial" w:eastAsia="Arial" w:hAnsi="Arial"/>
                <w:sz w:val="12"/>
                <w:szCs w:val="12"/>
                <w:b w:val="1"/>
                <w:bCs w:val="1"/>
                <w:color w:val="auto"/>
                <w:w w:val="92"/>
              </w:rPr>
              <w:t>Shares Beneficially</w:t>
            </w:r>
          </w:p>
        </w:tc>
        <w:tc>
          <w:tcPr>
            <w:tcW w:w="1080" w:type="dxa"/>
            <w:vAlign w:val="bottom"/>
          </w:tcPr>
          <w:p>
            <w:pPr>
              <w:spacing w:after="0"/>
              <w:rPr>
                <w:sz w:val="12"/>
                <w:szCs w:val="12"/>
                <w:color w:val="auto"/>
              </w:rPr>
            </w:pPr>
          </w:p>
        </w:tc>
      </w:tr>
      <w:tr>
        <w:trPr>
          <w:trHeight w:val="137"/>
        </w:trPr>
        <w:tc>
          <w:tcPr>
            <w:tcW w:w="5260" w:type="dxa"/>
            <w:vAlign w:val="bottom"/>
          </w:tcPr>
          <w:p>
            <w:pPr>
              <w:spacing w:after="0"/>
              <w:rPr>
                <w:sz w:val="11"/>
                <w:szCs w:val="11"/>
                <w:color w:val="auto"/>
              </w:rPr>
            </w:pPr>
          </w:p>
        </w:tc>
        <w:tc>
          <w:tcPr>
            <w:tcW w:w="5080" w:type="dxa"/>
            <w:vAlign w:val="bottom"/>
          </w:tcPr>
          <w:p>
            <w:pPr>
              <w:jc w:val="center"/>
              <w:ind w:left="3278"/>
              <w:spacing w:after="0" w:line="137" w:lineRule="exact"/>
              <w:rPr>
                <w:sz w:val="20"/>
                <w:szCs w:val="20"/>
                <w:color w:val="auto"/>
              </w:rPr>
            </w:pPr>
            <w:r>
              <w:rPr>
                <w:rFonts w:ascii="Arial" w:cs="Arial" w:eastAsia="Arial" w:hAnsi="Arial"/>
                <w:sz w:val="12"/>
                <w:szCs w:val="12"/>
                <w:b w:val="1"/>
                <w:bCs w:val="1"/>
                <w:color w:val="auto"/>
                <w:w w:val="94"/>
              </w:rPr>
              <w:t>Owned, Excluding</w:t>
            </w:r>
          </w:p>
        </w:tc>
        <w:tc>
          <w:tcPr>
            <w:tcW w:w="108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Equivalent Stock</w:t>
            </w:r>
          </w:p>
        </w:tc>
      </w:tr>
      <w:tr>
        <w:trPr>
          <w:trHeight w:val="161"/>
        </w:trPr>
        <w:tc>
          <w:tcPr>
            <w:tcW w:w="526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5080" w:type="dxa"/>
            <w:vAlign w:val="bottom"/>
          </w:tcPr>
          <w:p>
            <w:pPr>
              <w:jc w:val="center"/>
              <w:ind w:left="3278"/>
              <w:spacing w:after="0"/>
              <w:rPr>
                <w:sz w:val="20"/>
                <w:szCs w:val="20"/>
                <w:color w:val="auto"/>
              </w:rPr>
            </w:pPr>
            <w:r>
              <w:rPr>
                <w:rFonts w:ascii="Arial" w:cs="Arial" w:eastAsia="Arial" w:hAnsi="Arial"/>
                <w:sz w:val="12"/>
                <w:szCs w:val="12"/>
                <w:b w:val="1"/>
                <w:bCs w:val="1"/>
                <w:color w:val="auto"/>
                <w:w w:val="94"/>
              </w:rPr>
              <w:t>Options (1)(2)</w:t>
            </w:r>
          </w:p>
        </w:tc>
        <w:tc>
          <w:tcPr>
            <w:tcW w:w="1080" w:type="dxa"/>
            <w:vAlign w:val="bottom"/>
          </w:tcPr>
          <w:p>
            <w:pPr>
              <w:jc w:val="right"/>
              <w:spacing w:after="0"/>
              <w:rPr>
                <w:sz w:val="20"/>
                <w:szCs w:val="20"/>
                <w:color w:val="auto"/>
              </w:rPr>
            </w:pPr>
            <w:r>
              <w:rPr>
                <w:rFonts w:ascii="Arial" w:cs="Arial" w:eastAsia="Arial" w:hAnsi="Arial"/>
                <w:sz w:val="12"/>
                <w:szCs w:val="12"/>
                <w:b w:val="1"/>
                <w:bCs w:val="1"/>
                <w:color w:val="auto"/>
              </w:rPr>
              <w:t>Units</w:t>
            </w:r>
          </w:p>
        </w:tc>
      </w:tr>
      <w:tr>
        <w:trPr>
          <w:trHeight w:val="320"/>
        </w:trPr>
        <w:tc>
          <w:tcPr>
            <w:tcW w:w="526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r>
      <w:tr>
        <w:trPr>
          <w:trHeight w:val="380"/>
        </w:trPr>
        <w:tc>
          <w:tcPr>
            <w:tcW w:w="5260" w:type="dxa"/>
            <w:vAlign w:val="bottom"/>
          </w:tcPr>
          <w:p>
            <w:pPr>
              <w:spacing w:after="0"/>
              <w:rPr>
                <w:sz w:val="20"/>
                <w:szCs w:val="20"/>
                <w:color w:val="auto"/>
              </w:rPr>
            </w:pPr>
            <w:r>
              <w:rPr>
                <w:rFonts w:ascii="Arial" w:cs="Arial" w:eastAsia="Arial" w:hAnsi="Arial"/>
                <w:sz w:val="12"/>
                <w:szCs w:val="12"/>
                <w:color w:val="auto"/>
              </w:rPr>
              <w:t>Roxanne S. Austin</w:t>
            </w:r>
          </w:p>
        </w:tc>
        <w:tc>
          <w:tcPr>
            <w:tcW w:w="5080" w:type="dxa"/>
            <w:vAlign w:val="bottom"/>
          </w:tcPr>
          <w:p>
            <w:pPr>
              <w:jc w:val="right"/>
              <w:ind w:right="118"/>
              <w:spacing w:after="0"/>
              <w:rPr>
                <w:sz w:val="20"/>
                <w:szCs w:val="20"/>
                <w:color w:val="auto"/>
              </w:rPr>
            </w:pPr>
            <w:r>
              <w:rPr>
                <w:rFonts w:ascii="Arial" w:cs="Arial" w:eastAsia="Arial" w:hAnsi="Arial"/>
                <w:sz w:val="12"/>
                <w:szCs w:val="12"/>
                <w:color w:val="auto"/>
              </w:rPr>
              <w:t>2,429</w:t>
            </w:r>
          </w:p>
        </w:tc>
        <w:tc>
          <w:tcPr>
            <w:tcW w:w="1080" w:type="dxa"/>
            <w:vAlign w:val="bottom"/>
          </w:tcPr>
          <w:p>
            <w:pPr>
              <w:jc w:val="right"/>
              <w:spacing w:after="0"/>
              <w:rPr>
                <w:sz w:val="20"/>
                <w:szCs w:val="20"/>
                <w:color w:val="auto"/>
              </w:rPr>
            </w:pPr>
            <w:r>
              <w:rPr>
                <w:rFonts w:ascii="Arial" w:cs="Arial" w:eastAsia="Arial" w:hAnsi="Arial"/>
                <w:sz w:val="12"/>
                <w:szCs w:val="12"/>
                <w:color w:val="auto"/>
              </w:rPr>
              <w:t>0</w:t>
            </w:r>
          </w:p>
        </w:tc>
      </w:tr>
      <w:tr>
        <w:trPr>
          <w:trHeight w:val="97"/>
        </w:trPr>
        <w:tc>
          <w:tcPr>
            <w:tcW w:w="5260" w:type="dxa"/>
            <w:vAlign w:val="bottom"/>
            <w:tcBorders>
              <w:bottom w:val="single" w:sz="8" w:color="808080"/>
            </w:tcBorders>
          </w:tcPr>
          <w:p>
            <w:pPr>
              <w:spacing w:after="0"/>
              <w:rPr>
                <w:sz w:val="8"/>
                <w:szCs w:val="8"/>
                <w:color w:val="auto"/>
              </w:rPr>
            </w:pPr>
          </w:p>
        </w:tc>
        <w:tc>
          <w:tcPr>
            <w:tcW w:w="50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2"/>
                <w:szCs w:val="12"/>
                <w:color w:val="auto"/>
              </w:rPr>
              <w:t>Christopher B. Begley</w:t>
            </w:r>
          </w:p>
        </w:tc>
        <w:tc>
          <w:tcPr>
            <w:tcW w:w="5080" w:type="dxa"/>
            <w:vAlign w:val="bottom"/>
          </w:tcPr>
          <w:p>
            <w:pPr>
              <w:jc w:val="right"/>
              <w:ind w:right="118"/>
              <w:spacing w:after="0"/>
              <w:rPr>
                <w:sz w:val="20"/>
                <w:szCs w:val="20"/>
                <w:color w:val="auto"/>
              </w:rPr>
            </w:pPr>
            <w:r>
              <w:rPr>
                <w:rFonts w:ascii="Arial" w:cs="Arial" w:eastAsia="Arial" w:hAnsi="Arial"/>
                <w:sz w:val="12"/>
                <w:szCs w:val="12"/>
                <w:color w:val="auto"/>
              </w:rPr>
              <w:t>221,300</w:t>
            </w:r>
          </w:p>
        </w:tc>
        <w:tc>
          <w:tcPr>
            <w:tcW w:w="1080" w:type="dxa"/>
            <w:vAlign w:val="bottom"/>
          </w:tcPr>
          <w:p>
            <w:pPr>
              <w:jc w:val="right"/>
              <w:spacing w:after="0"/>
              <w:rPr>
                <w:sz w:val="20"/>
                <w:szCs w:val="20"/>
                <w:color w:val="auto"/>
              </w:rPr>
            </w:pPr>
            <w:r>
              <w:rPr>
                <w:rFonts w:ascii="Arial" w:cs="Arial" w:eastAsia="Arial" w:hAnsi="Arial"/>
                <w:sz w:val="12"/>
                <w:szCs w:val="12"/>
                <w:color w:val="auto"/>
              </w:rPr>
              <w:t>0</w:t>
            </w:r>
          </w:p>
        </w:tc>
      </w:tr>
      <w:tr>
        <w:trPr>
          <w:trHeight w:val="97"/>
        </w:trPr>
        <w:tc>
          <w:tcPr>
            <w:tcW w:w="5260" w:type="dxa"/>
            <w:vAlign w:val="bottom"/>
            <w:tcBorders>
              <w:bottom w:val="single" w:sz="8" w:color="808080"/>
            </w:tcBorders>
          </w:tcPr>
          <w:p>
            <w:pPr>
              <w:spacing w:after="0"/>
              <w:rPr>
                <w:sz w:val="8"/>
                <w:szCs w:val="8"/>
                <w:color w:val="auto"/>
              </w:rPr>
            </w:pPr>
          </w:p>
        </w:tc>
        <w:tc>
          <w:tcPr>
            <w:tcW w:w="50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2"/>
                <w:szCs w:val="12"/>
                <w:color w:val="auto"/>
              </w:rPr>
              <w:t>William G. Dempsey</w:t>
            </w:r>
          </w:p>
        </w:tc>
        <w:tc>
          <w:tcPr>
            <w:tcW w:w="5080" w:type="dxa"/>
            <w:vAlign w:val="bottom"/>
          </w:tcPr>
          <w:p>
            <w:pPr>
              <w:jc w:val="right"/>
              <w:ind w:right="118"/>
              <w:spacing w:after="0"/>
              <w:rPr>
                <w:sz w:val="20"/>
                <w:szCs w:val="20"/>
                <w:color w:val="auto"/>
              </w:rPr>
            </w:pPr>
            <w:r>
              <w:rPr>
                <w:rFonts w:ascii="Arial" w:cs="Arial" w:eastAsia="Arial" w:hAnsi="Arial"/>
                <w:sz w:val="12"/>
                <w:szCs w:val="12"/>
                <w:color w:val="auto"/>
              </w:rPr>
              <w:t>141,512</w:t>
            </w:r>
          </w:p>
        </w:tc>
        <w:tc>
          <w:tcPr>
            <w:tcW w:w="1080" w:type="dxa"/>
            <w:vAlign w:val="bottom"/>
          </w:tcPr>
          <w:p>
            <w:pPr>
              <w:jc w:val="right"/>
              <w:spacing w:after="0"/>
              <w:rPr>
                <w:sz w:val="20"/>
                <w:szCs w:val="20"/>
                <w:color w:val="auto"/>
              </w:rPr>
            </w:pPr>
            <w:r>
              <w:rPr>
                <w:rFonts w:ascii="Arial" w:cs="Arial" w:eastAsia="Arial" w:hAnsi="Arial"/>
                <w:sz w:val="12"/>
                <w:szCs w:val="12"/>
                <w:color w:val="auto"/>
              </w:rPr>
              <w:t>0</w:t>
            </w:r>
          </w:p>
        </w:tc>
      </w:tr>
      <w:tr>
        <w:trPr>
          <w:trHeight w:val="97"/>
        </w:trPr>
        <w:tc>
          <w:tcPr>
            <w:tcW w:w="5260" w:type="dxa"/>
            <w:vAlign w:val="bottom"/>
            <w:tcBorders>
              <w:bottom w:val="single" w:sz="8" w:color="808080"/>
            </w:tcBorders>
          </w:tcPr>
          <w:p>
            <w:pPr>
              <w:spacing w:after="0"/>
              <w:rPr>
                <w:sz w:val="8"/>
                <w:szCs w:val="8"/>
                <w:color w:val="auto"/>
              </w:rPr>
            </w:pPr>
          </w:p>
        </w:tc>
        <w:tc>
          <w:tcPr>
            <w:tcW w:w="50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2"/>
                <w:szCs w:val="12"/>
                <w:color w:val="auto"/>
              </w:rPr>
              <w:t>H. Laurance Fuller</w:t>
            </w:r>
          </w:p>
        </w:tc>
        <w:tc>
          <w:tcPr>
            <w:tcW w:w="5080" w:type="dxa"/>
            <w:vAlign w:val="bottom"/>
          </w:tcPr>
          <w:p>
            <w:pPr>
              <w:jc w:val="right"/>
              <w:ind w:right="118"/>
              <w:spacing w:after="0"/>
              <w:rPr>
                <w:sz w:val="20"/>
                <w:szCs w:val="20"/>
                <w:color w:val="auto"/>
              </w:rPr>
            </w:pPr>
            <w:r>
              <w:rPr>
                <w:rFonts w:ascii="Arial" w:cs="Arial" w:eastAsia="Arial" w:hAnsi="Arial"/>
                <w:sz w:val="12"/>
                <w:szCs w:val="12"/>
                <w:color w:val="auto"/>
              </w:rPr>
              <w:t>30,219</w:t>
            </w:r>
          </w:p>
        </w:tc>
        <w:tc>
          <w:tcPr>
            <w:tcW w:w="1080" w:type="dxa"/>
            <w:vAlign w:val="bottom"/>
          </w:tcPr>
          <w:p>
            <w:pPr>
              <w:jc w:val="right"/>
              <w:spacing w:after="0"/>
              <w:rPr>
                <w:sz w:val="20"/>
                <w:szCs w:val="20"/>
                <w:color w:val="auto"/>
              </w:rPr>
            </w:pPr>
            <w:r>
              <w:rPr>
                <w:rFonts w:ascii="Arial" w:cs="Arial" w:eastAsia="Arial" w:hAnsi="Arial"/>
                <w:sz w:val="12"/>
                <w:szCs w:val="12"/>
                <w:color w:val="auto"/>
              </w:rPr>
              <w:t>39,523</w:t>
            </w:r>
          </w:p>
        </w:tc>
      </w:tr>
      <w:tr>
        <w:trPr>
          <w:trHeight w:val="97"/>
        </w:trPr>
        <w:tc>
          <w:tcPr>
            <w:tcW w:w="5260" w:type="dxa"/>
            <w:vAlign w:val="bottom"/>
            <w:tcBorders>
              <w:bottom w:val="single" w:sz="8" w:color="808080"/>
            </w:tcBorders>
          </w:tcPr>
          <w:p>
            <w:pPr>
              <w:spacing w:after="0"/>
              <w:rPr>
                <w:sz w:val="8"/>
                <w:szCs w:val="8"/>
                <w:color w:val="auto"/>
              </w:rPr>
            </w:pPr>
          </w:p>
        </w:tc>
        <w:tc>
          <w:tcPr>
            <w:tcW w:w="50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2"/>
                <w:szCs w:val="12"/>
                <w:color w:val="auto"/>
              </w:rPr>
              <w:t>Richard A. Gonzalez</w:t>
            </w:r>
          </w:p>
        </w:tc>
        <w:tc>
          <w:tcPr>
            <w:tcW w:w="5080" w:type="dxa"/>
            <w:vAlign w:val="bottom"/>
          </w:tcPr>
          <w:p>
            <w:pPr>
              <w:jc w:val="right"/>
              <w:ind w:right="118"/>
              <w:spacing w:after="0"/>
              <w:rPr>
                <w:sz w:val="20"/>
                <w:szCs w:val="20"/>
                <w:color w:val="auto"/>
              </w:rPr>
            </w:pPr>
            <w:r>
              <w:rPr>
                <w:rFonts w:ascii="Arial" w:cs="Arial" w:eastAsia="Arial" w:hAnsi="Arial"/>
                <w:sz w:val="12"/>
                <w:szCs w:val="12"/>
                <w:color w:val="auto"/>
              </w:rPr>
              <w:t>121,312</w:t>
            </w:r>
          </w:p>
        </w:tc>
        <w:tc>
          <w:tcPr>
            <w:tcW w:w="1080" w:type="dxa"/>
            <w:vAlign w:val="bottom"/>
          </w:tcPr>
          <w:p>
            <w:pPr>
              <w:jc w:val="right"/>
              <w:spacing w:after="0"/>
              <w:rPr>
                <w:sz w:val="20"/>
                <w:szCs w:val="20"/>
                <w:color w:val="auto"/>
              </w:rPr>
            </w:pPr>
            <w:r>
              <w:rPr>
                <w:rFonts w:ascii="Arial" w:cs="Arial" w:eastAsia="Arial" w:hAnsi="Arial"/>
                <w:sz w:val="12"/>
                <w:szCs w:val="12"/>
                <w:color w:val="auto"/>
              </w:rPr>
              <w:t>0</w:t>
            </w:r>
          </w:p>
        </w:tc>
      </w:tr>
      <w:tr>
        <w:trPr>
          <w:trHeight w:val="97"/>
        </w:trPr>
        <w:tc>
          <w:tcPr>
            <w:tcW w:w="5260" w:type="dxa"/>
            <w:vAlign w:val="bottom"/>
            <w:tcBorders>
              <w:bottom w:val="single" w:sz="8" w:color="808080"/>
            </w:tcBorders>
          </w:tcPr>
          <w:p>
            <w:pPr>
              <w:spacing w:after="0"/>
              <w:rPr>
                <w:sz w:val="8"/>
                <w:szCs w:val="8"/>
                <w:color w:val="auto"/>
              </w:rPr>
            </w:pPr>
          </w:p>
        </w:tc>
        <w:tc>
          <w:tcPr>
            <w:tcW w:w="50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2"/>
                <w:szCs w:val="12"/>
                <w:color w:val="auto"/>
              </w:rPr>
              <w:t>Jack M. Greenberg</w:t>
            </w:r>
          </w:p>
        </w:tc>
        <w:tc>
          <w:tcPr>
            <w:tcW w:w="5080" w:type="dxa"/>
            <w:vAlign w:val="bottom"/>
          </w:tcPr>
          <w:p>
            <w:pPr>
              <w:jc w:val="right"/>
              <w:ind w:right="118"/>
              <w:spacing w:after="0"/>
              <w:rPr>
                <w:sz w:val="20"/>
                <w:szCs w:val="20"/>
                <w:color w:val="auto"/>
              </w:rPr>
            </w:pPr>
            <w:r>
              <w:rPr>
                <w:rFonts w:ascii="Arial" w:cs="Arial" w:eastAsia="Arial" w:hAnsi="Arial"/>
                <w:sz w:val="12"/>
                <w:szCs w:val="12"/>
                <w:color w:val="auto"/>
              </w:rPr>
              <w:t>2,429</w:t>
            </w:r>
          </w:p>
        </w:tc>
        <w:tc>
          <w:tcPr>
            <w:tcW w:w="1080" w:type="dxa"/>
            <w:vAlign w:val="bottom"/>
          </w:tcPr>
          <w:p>
            <w:pPr>
              <w:jc w:val="right"/>
              <w:spacing w:after="0"/>
              <w:rPr>
                <w:sz w:val="20"/>
                <w:szCs w:val="20"/>
                <w:color w:val="auto"/>
              </w:rPr>
            </w:pPr>
            <w:r>
              <w:rPr>
                <w:rFonts w:ascii="Arial" w:cs="Arial" w:eastAsia="Arial" w:hAnsi="Arial"/>
                <w:sz w:val="12"/>
                <w:szCs w:val="12"/>
                <w:color w:val="auto"/>
              </w:rPr>
              <w:t>0</w:t>
            </w:r>
          </w:p>
        </w:tc>
      </w:tr>
      <w:tr>
        <w:trPr>
          <w:trHeight w:val="97"/>
        </w:trPr>
        <w:tc>
          <w:tcPr>
            <w:tcW w:w="5260" w:type="dxa"/>
            <w:vAlign w:val="bottom"/>
            <w:tcBorders>
              <w:bottom w:val="single" w:sz="8" w:color="808080"/>
            </w:tcBorders>
          </w:tcPr>
          <w:p>
            <w:pPr>
              <w:spacing w:after="0"/>
              <w:rPr>
                <w:sz w:val="8"/>
                <w:szCs w:val="8"/>
                <w:color w:val="auto"/>
              </w:rPr>
            </w:pPr>
          </w:p>
        </w:tc>
        <w:tc>
          <w:tcPr>
            <w:tcW w:w="50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2"/>
                <w:szCs w:val="12"/>
                <w:color w:val="auto"/>
              </w:rPr>
              <w:t>David A. Jones</w:t>
            </w:r>
          </w:p>
        </w:tc>
        <w:tc>
          <w:tcPr>
            <w:tcW w:w="5080" w:type="dxa"/>
            <w:vAlign w:val="bottom"/>
          </w:tcPr>
          <w:p>
            <w:pPr>
              <w:jc w:val="right"/>
              <w:ind w:right="118"/>
              <w:spacing w:after="0"/>
              <w:rPr>
                <w:sz w:val="20"/>
                <w:szCs w:val="20"/>
                <w:color w:val="auto"/>
              </w:rPr>
            </w:pPr>
            <w:r>
              <w:rPr>
                <w:rFonts w:ascii="Arial" w:cs="Arial" w:eastAsia="Arial" w:hAnsi="Arial"/>
                <w:sz w:val="12"/>
                <w:szCs w:val="12"/>
                <w:color w:val="auto"/>
              </w:rPr>
              <w:t>297,199</w:t>
            </w:r>
          </w:p>
        </w:tc>
        <w:tc>
          <w:tcPr>
            <w:tcW w:w="1080" w:type="dxa"/>
            <w:vAlign w:val="bottom"/>
          </w:tcPr>
          <w:p>
            <w:pPr>
              <w:jc w:val="right"/>
              <w:spacing w:after="0"/>
              <w:rPr>
                <w:sz w:val="20"/>
                <w:szCs w:val="20"/>
                <w:color w:val="auto"/>
              </w:rPr>
            </w:pPr>
            <w:r>
              <w:rPr>
                <w:rFonts w:ascii="Arial" w:cs="Arial" w:eastAsia="Arial" w:hAnsi="Arial"/>
                <w:sz w:val="12"/>
                <w:szCs w:val="12"/>
                <w:color w:val="auto"/>
              </w:rPr>
              <w:t>107,480</w:t>
            </w:r>
          </w:p>
        </w:tc>
      </w:tr>
      <w:tr>
        <w:trPr>
          <w:trHeight w:val="97"/>
        </w:trPr>
        <w:tc>
          <w:tcPr>
            <w:tcW w:w="5260" w:type="dxa"/>
            <w:vAlign w:val="bottom"/>
            <w:tcBorders>
              <w:bottom w:val="single" w:sz="8" w:color="808080"/>
            </w:tcBorders>
          </w:tcPr>
          <w:p>
            <w:pPr>
              <w:spacing w:after="0"/>
              <w:rPr>
                <w:sz w:val="8"/>
                <w:szCs w:val="8"/>
                <w:color w:val="auto"/>
              </w:rPr>
            </w:pPr>
          </w:p>
        </w:tc>
        <w:tc>
          <w:tcPr>
            <w:tcW w:w="50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2"/>
                <w:szCs w:val="12"/>
                <w:color w:val="auto"/>
              </w:rPr>
              <w:t>Jeffrey M. Leiden, M.D., Ph.D.</w:t>
            </w:r>
          </w:p>
        </w:tc>
        <w:tc>
          <w:tcPr>
            <w:tcW w:w="5080" w:type="dxa"/>
            <w:vAlign w:val="bottom"/>
          </w:tcPr>
          <w:p>
            <w:pPr>
              <w:jc w:val="right"/>
              <w:ind w:right="118"/>
              <w:spacing w:after="0"/>
              <w:rPr>
                <w:sz w:val="20"/>
                <w:szCs w:val="20"/>
                <w:color w:val="auto"/>
              </w:rPr>
            </w:pPr>
            <w:r>
              <w:rPr>
                <w:rFonts w:ascii="Arial" w:cs="Arial" w:eastAsia="Arial" w:hAnsi="Arial"/>
                <w:sz w:val="12"/>
                <w:szCs w:val="12"/>
                <w:color w:val="auto"/>
              </w:rPr>
              <w:t>78,544</w:t>
            </w:r>
          </w:p>
        </w:tc>
        <w:tc>
          <w:tcPr>
            <w:tcW w:w="1080" w:type="dxa"/>
            <w:vAlign w:val="bottom"/>
          </w:tcPr>
          <w:p>
            <w:pPr>
              <w:jc w:val="right"/>
              <w:spacing w:after="0"/>
              <w:rPr>
                <w:sz w:val="20"/>
                <w:szCs w:val="20"/>
                <w:color w:val="auto"/>
              </w:rPr>
            </w:pPr>
            <w:r>
              <w:rPr>
                <w:rFonts w:ascii="Arial" w:cs="Arial" w:eastAsia="Arial" w:hAnsi="Arial"/>
                <w:sz w:val="12"/>
                <w:szCs w:val="12"/>
                <w:color w:val="auto"/>
              </w:rPr>
              <w:t>0</w:t>
            </w:r>
          </w:p>
        </w:tc>
      </w:tr>
      <w:tr>
        <w:trPr>
          <w:trHeight w:val="97"/>
        </w:trPr>
        <w:tc>
          <w:tcPr>
            <w:tcW w:w="5260" w:type="dxa"/>
            <w:vAlign w:val="bottom"/>
            <w:tcBorders>
              <w:bottom w:val="single" w:sz="8" w:color="808080"/>
            </w:tcBorders>
          </w:tcPr>
          <w:p>
            <w:pPr>
              <w:spacing w:after="0"/>
              <w:rPr>
                <w:sz w:val="8"/>
                <w:szCs w:val="8"/>
                <w:color w:val="auto"/>
              </w:rPr>
            </w:pPr>
          </w:p>
        </w:tc>
        <w:tc>
          <w:tcPr>
            <w:tcW w:w="50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2"/>
                <w:szCs w:val="12"/>
                <w:color w:val="auto"/>
              </w:rPr>
              <w:t>The Lord Owen CH</w:t>
            </w:r>
          </w:p>
        </w:tc>
        <w:tc>
          <w:tcPr>
            <w:tcW w:w="5080" w:type="dxa"/>
            <w:vAlign w:val="bottom"/>
          </w:tcPr>
          <w:p>
            <w:pPr>
              <w:jc w:val="right"/>
              <w:ind w:right="118"/>
              <w:spacing w:after="0"/>
              <w:rPr>
                <w:sz w:val="20"/>
                <w:szCs w:val="20"/>
                <w:color w:val="auto"/>
              </w:rPr>
            </w:pPr>
            <w:r>
              <w:rPr>
                <w:rFonts w:ascii="Arial" w:cs="Arial" w:eastAsia="Arial" w:hAnsi="Arial"/>
                <w:sz w:val="12"/>
                <w:szCs w:val="12"/>
                <w:color w:val="auto"/>
              </w:rPr>
              <w:t>9,271</w:t>
            </w:r>
          </w:p>
        </w:tc>
        <w:tc>
          <w:tcPr>
            <w:tcW w:w="1080" w:type="dxa"/>
            <w:vAlign w:val="bottom"/>
          </w:tcPr>
          <w:p>
            <w:pPr>
              <w:jc w:val="right"/>
              <w:spacing w:after="0"/>
              <w:rPr>
                <w:sz w:val="20"/>
                <w:szCs w:val="20"/>
                <w:color w:val="auto"/>
              </w:rPr>
            </w:pPr>
            <w:r>
              <w:rPr>
                <w:rFonts w:ascii="Arial" w:cs="Arial" w:eastAsia="Arial" w:hAnsi="Arial"/>
                <w:sz w:val="12"/>
                <w:szCs w:val="12"/>
                <w:color w:val="auto"/>
              </w:rPr>
              <w:t>5,060</w:t>
            </w:r>
          </w:p>
        </w:tc>
      </w:tr>
      <w:tr>
        <w:trPr>
          <w:trHeight w:val="97"/>
        </w:trPr>
        <w:tc>
          <w:tcPr>
            <w:tcW w:w="5260" w:type="dxa"/>
            <w:vAlign w:val="bottom"/>
            <w:tcBorders>
              <w:bottom w:val="single" w:sz="8" w:color="808080"/>
            </w:tcBorders>
          </w:tcPr>
          <w:p>
            <w:pPr>
              <w:spacing w:after="0"/>
              <w:rPr>
                <w:sz w:val="8"/>
                <w:szCs w:val="8"/>
                <w:color w:val="auto"/>
              </w:rPr>
            </w:pPr>
          </w:p>
        </w:tc>
        <w:tc>
          <w:tcPr>
            <w:tcW w:w="50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2"/>
                <w:szCs w:val="12"/>
                <w:color w:val="auto"/>
              </w:rPr>
              <w:t>Boone Powell Jr.</w:t>
            </w:r>
          </w:p>
        </w:tc>
        <w:tc>
          <w:tcPr>
            <w:tcW w:w="5080" w:type="dxa"/>
            <w:vAlign w:val="bottom"/>
          </w:tcPr>
          <w:p>
            <w:pPr>
              <w:jc w:val="right"/>
              <w:ind w:right="118"/>
              <w:spacing w:after="0"/>
              <w:rPr>
                <w:sz w:val="20"/>
                <w:szCs w:val="20"/>
                <w:color w:val="auto"/>
              </w:rPr>
            </w:pPr>
            <w:r>
              <w:rPr>
                <w:rFonts w:ascii="Arial" w:cs="Arial" w:eastAsia="Arial" w:hAnsi="Arial"/>
                <w:sz w:val="12"/>
                <w:szCs w:val="12"/>
                <w:color w:val="auto"/>
              </w:rPr>
              <w:t>31,072</w:t>
            </w:r>
          </w:p>
        </w:tc>
        <w:tc>
          <w:tcPr>
            <w:tcW w:w="1080" w:type="dxa"/>
            <w:vAlign w:val="bottom"/>
          </w:tcPr>
          <w:p>
            <w:pPr>
              <w:jc w:val="right"/>
              <w:spacing w:after="0"/>
              <w:rPr>
                <w:sz w:val="20"/>
                <w:szCs w:val="20"/>
                <w:color w:val="auto"/>
              </w:rPr>
            </w:pPr>
            <w:r>
              <w:rPr>
                <w:rFonts w:ascii="Arial" w:cs="Arial" w:eastAsia="Arial" w:hAnsi="Arial"/>
                <w:sz w:val="12"/>
                <w:szCs w:val="12"/>
                <w:color w:val="auto"/>
              </w:rPr>
              <w:t>62,886</w:t>
            </w:r>
          </w:p>
        </w:tc>
      </w:tr>
      <w:tr>
        <w:trPr>
          <w:trHeight w:val="97"/>
        </w:trPr>
        <w:tc>
          <w:tcPr>
            <w:tcW w:w="5260" w:type="dxa"/>
            <w:vAlign w:val="bottom"/>
            <w:tcBorders>
              <w:bottom w:val="single" w:sz="8" w:color="808080"/>
            </w:tcBorders>
          </w:tcPr>
          <w:p>
            <w:pPr>
              <w:spacing w:after="0"/>
              <w:rPr>
                <w:sz w:val="8"/>
                <w:szCs w:val="8"/>
                <w:color w:val="auto"/>
              </w:rPr>
            </w:pPr>
          </w:p>
        </w:tc>
        <w:tc>
          <w:tcPr>
            <w:tcW w:w="50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2"/>
                <w:szCs w:val="12"/>
                <w:color w:val="auto"/>
              </w:rPr>
              <w:t>Addison Barry Rand</w:t>
            </w:r>
          </w:p>
        </w:tc>
        <w:tc>
          <w:tcPr>
            <w:tcW w:w="5080" w:type="dxa"/>
            <w:vAlign w:val="bottom"/>
          </w:tcPr>
          <w:p>
            <w:pPr>
              <w:jc w:val="right"/>
              <w:ind w:right="118"/>
              <w:spacing w:after="0"/>
              <w:rPr>
                <w:sz w:val="20"/>
                <w:szCs w:val="20"/>
                <w:color w:val="auto"/>
              </w:rPr>
            </w:pPr>
            <w:r>
              <w:rPr>
                <w:rFonts w:ascii="Arial" w:cs="Arial" w:eastAsia="Arial" w:hAnsi="Arial"/>
                <w:sz w:val="12"/>
                <w:szCs w:val="12"/>
                <w:color w:val="auto"/>
              </w:rPr>
              <w:t>16,922</w:t>
            </w:r>
          </w:p>
        </w:tc>
        <w:tc>
          <w:tcPr>
            <w:tcW w:w="1080" w:type="dxa"/>
            <w:vAlign w:val="bottom"/>
          </w:tcPr>
          <w:p>
            <w:pPr>
              <w:jc w:val="right"/>
              <w:spacing w:after="0"/>
              <w:rPr>
                <w:sz w:val="20"/>
                <w:szCs w:val="20"/>
                <w:color w:val="auto"/>
              </w:rPr>
            </w:pPr>
            <w:r>
              <w:rPr>
                <w:rFonts w:ascii="Arial" w:cs="Arial" w:eastAsia="Arial" w:hAnsi="Arial"/>
                <w:sz w:val="12"/>
                <w:szCs w:val="12"/>
                <w:color w:val="auto"/>
              </w:rPr>
              <w:t>0</w:t>
            </w:r>
          </w:p>
        </w:tc>
      </w:tr>
      <w:tr>
        <w:trPr>
          <w:trHeight w:val="97"/>
        </w:trPr>
        <w:tc>
          <w:tcPr>
            <w:tcW w:w="5260" w:type="dxa"/>
            <w:vAlign w:val="bottom"/>
            <w:tcBorders>
              <w:bottom w:val="single" w:sz="8" w:color="808080"/>
            </w:tcBorders>
          </w:tcPr>
          <w:p>
            <w:pPr>
              <w:spacing w:after="0"/>
              <w:rPr>
                <w:sz w:val="8"/>
                <w:szCs w:val="8"/>
                <w:color w:val="auto"/>
              </w:rPr>
            </w:pPr>
          </w:p>
        </w:tc>
        <w:tc>
          <w:tcPr>
            <w:tcW w:w="50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2"/>
                <w:szCs w:val="12"/>
                <w:color w:val="auto"/>
              </w:rPr>
              <w:t>W. Ann Reynolds, Ph.D.</w:t>
            </w:r>
          </w:p>
        </w:tc>
        <w:tc>
          <w:tcPr>
            <w:tcW w:w="5080" w:type="dxa"/>
            <w:vAlign w:val="bottom"/>
          </w:tcPr>
          <w:p>
            <w:pPr>
              <w:jc w:val="right"/>
              <w:ind w:right="118"/>
              <w:spacing w:after="0"/>
              <w:rPr>
                <w:sz w:val="20"/>
                <w:szCs w:val="20"/>
                <w:color w:val="auto"/>
              </w:rPr>
            </w:pPr>
            <w:r>
              <w:rPr>
                <w:rFonts w:ascii="Arial" w:cs="Arial" w:eastAsia="Arial" w:hAnsi="Arial"/>
                <w:sz w:val="12"/>
                <w:szCs w:val="12"/>
                <w:color w:val="auto"/>
              </w:rPr>
              <w:t>30,692</w:t>
            </w:r>
          </w:p>
        </w:tc>
        <w:tc>
          <w:tcPr>
            <w:tcW w:w="1080" w:type="dxa"/>
            <w:vAlign w:val="bottom"/>
          </w:tcPr>
          <w:p>
            <w:pPr>
              <w:jc w:val="right"/>
              <w:spacing w:after="0"/>
              <w:rPr>
                <w:sz w:val="20"/>
                <w:szCs w:val="20"/>
                <w:color w:val="auto"/>
              </w:rPr>
            </w:pPr>
            <w:r>
              <w:rPr>
                <w:rFonts w:ascii="Arial" w:cs="Arial" w:eastAsia="Arial" w:hAnsi="Arial"/>
                <w:sz w:val="12"/>
                <w:szCs w:val="12"/>
                <w:color w:val="auto"/>
              </w:rPr>
              <w:t>61,585</w:t>
            </w:r>
          </w:p>
        </w:tc>
      </w:tr>
      <w:tr>
        <w:trPr>
          <w:trHeight w:val="97"/>
        </w:trPr>
        <w:tc>
          <w:tcPr>
            <w:tcW w:w="5260" w:type="dxa"/>
            <w:vAlign w:val="bottom"/>
            <w:tcBorders>
              <w:bottom w:val="single" w:sz="8" w:color="808080"/>
            </w:tcBorders>
          </w:tcPr>
          <w:p>
            <w:pPr>
              <w:spacing w:after="0"/>
              <w:rPr>
                <w:sz w:val="8"/>
                <w:szCs w:val="8"/>
                <w:color w:val="auto"/>
              </w:rPr>
            </w:pPr>
          </w:p>
        </w:tc>
        <w:tc>
          <w:tcPr>
            <w:tcW w:w="50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2"/>
                <w:szCs w:val="12"/>
                <w:color w:val="auto"/>
              </w:rPr>
              <w:t>Roy S. Roberts</w:t>
            </w:r>
          </w:p>
        </w:tc>
        <w:tc>
          <w:tcPr>
            <w:tcW w:w="5080" w:type="dxa"/>
            <w:vAlign w:val="bottom"/>
          </w:tcPr>
          <w:p>
            <w:pPr>
              <w:jc w:val="right"/>
              <w:ind w:right="118"/>
              <w:spacing w:after="0"/>
              <w:rPr>
                <w:sz w:val="20"/>
                <w:szCs w:val="20"/>
                <w:color w:val="auto"/>
              </w:rPr>
            </w:pPr>
            <w:r>
              <w:rPr>
                <w:rFonts w:ascii="Arial" w:cs="Arial" w:eastAsia="Arial" w:hAnsi="Arial"/>
                <w:sz w:val="12"/>
                <w:szCs w:val="12"/>
                <w:color w:val="auto"/>
              </w:rPr>
              <w:t>7,077</w:t>
            </w:r>
          </w:p>
        </w:tc>
        <w:tc>
          <w:tcPr>
            <w:tcW w:w="1080" w:type="dxa"/>
            <w:vAlign w:val="bottom"/>
          </w:tcPr>
          <w:p>
            <w:pPr>
              <w:jc w:val="right"/>
              <w:spacing w:after="0"/>
              <w:rPr>
                <w:sz w:val="20"/>
                <w:szCs w:val="20"/>
                <w:color w:val="auto"/>
              </w:rPr>
            </w:pPr>
            <w:r>
              <w:rPr>
                <w:rFonts w:ascii="Arial" w:cs="Arial" w:eastAsia="Arial" w:hAnsi="Arial"/>
                <w:sz w:val="12"/>
                <w:szCs w:val="12"/>
                <w:color w:val="auto"/>
              </w:rPr>
              <w:t>0</w:t>
            </w:r>
          </w:p>
        </w:tc>
      </w:tr>
      <w:tr>
        <w:trPr>
          <w:trHeight w:val="97"/>
        </w:trPr>
        <w:tc>
          <w:tcPr>
            <w:tcW w:w="5260" w:type="dxa"/>
            <w:vAlign w:val="bottom"/>
            <w:tcBorders>
              <w:bottom w:val="single" w:sz="8" w:color="808080"/>
            </w:tcBorders>
          </w:tcPr>
          <w:p>
            <w:pPr>
              <w:spacing w:after="0"/>
              <w:rPr>
                <w:sz w:val="8"/>
                <w:szCs w:val="8"/>
                <w:color w:val="auto"/>
              </w:rPr>
            </w:pPr>
          </w:p>
        </w:tc>
        <w:tc>
          <w:tcPr>
            <w:tcW w:w="50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-3070860</wp:posOffset>
            </wp:positionV>
            <wp:extent cx="1270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-3070860</wp:posOffset>
            </wp:positionV>
            <wp:extent cx="1270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-2755900</wp:posOffset>
            </wp:positionV>
            <wp:extent cx="1270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-2755900</wp:posOffset>
            </wp:positionV>
            <wp:extent cx="1270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-2527300</wp:posOffset>
            </wp:positionV>
            <wp:extent cx="1270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-2527300</wp:posOffset>
            </wp:positionV>
            <wp:extent cx="1270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-2298700</wp:posOffset>
            </wp:positionV>
            <wp:extent cx="1270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-2298700</wp:posOffset>
            </wp:positionV>
            <wp:extent cx="1270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-2070100</wp:posOffset>
            </wp:positionV>
            <wp:extent cx="1270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-2070100</wp:posOffset>
            </wp:positionV>
            <wp:extent cx="1270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-1841500</wp:posOffset>
            </wp:positionV>
            <wp:extent cx="1270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-1841500</wp:posOffset>
            </wp:positionV>
            <wp:extent cx="1270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-1613535</wp:posOffset>
            </wp:positionV>
            <wp:extent cx="1270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-1613535</wp:posOffset>
            </wp:positionV>
            <wp:extent cx="1270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-1384935</wp:posOffset>
            </wp:positionV>
            <wp:extent cx="1270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-1384935</wp:posOffset>
            </wp:positionV>
            <wp:extent cx="1270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-1156335</wp:posOffset>
            </wp:positionV>
            <wp:extent cx="1270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-1156335</wp:posOffset>
            </wp:positionV>
            <wp:extent cx="1270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-927735</wp:posOffset>
            </wp:positionV>
            <wp:extent cx="1270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-927735</wp:posOffset>
            </wp:positionV>
            <wp:extent cx="1270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-699135</wp:posOffset>
            </wp:positionV>
            <wp:extent cx="1270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-699135</wp:posOffset>
            </wp:positionV>
            <wp:extent cx="1270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-470535</wp:posOffset>
            </wp:positionV>
            <wp:extent cx="127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-470535</wp:posOffset>
            </wp:positionV>
            <wp:extent cx="1270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-241935</wp:posOffset>
            </wp:positionV>
            <wp:extent cx="1270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-241935</wp:posOffset>
            </wp:positionV>
            <wp:extent cx="1270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86" w:orient="portrait"/>
          <w:cols w:equalWidth="0" w:num="1">
            <w:col w:w="11420"/>
          </w:cols>
          <w:pgMar w:left="240" w:top="131" w:right="239" w:bottom="0" w:gutter="0" w:footer="0" w:header="0"/>
        </w:sectPr>
      </w:pPr>
    </w:p>
    <w:bookmarkStart w:id="8" w:name="page9"/>
    <w:bookmarkEnd w:id="8"/>
    <w:tbl>
      <w:tblPr>
        <w:tblLayout w:type="fixed"/>
        <w:tblInd w:w="1" w:type="dxa"/>
        <w:tblCellMar>
          <w:top w:w="0" w:type="dxa"/>
          <w:left w:w="0" w:type="dxa"/>
          <w:bottom w:w="0" w:type="dxa"/>
          <w:right w:w="0" w:type="dxa"/>
        </w:tblCellMar>
      </w:tblPr>
      <w:tr>
        <w:trPr>
          <w:trHeight w:val="157"/>
        </w:trPr>
        <w:tc>
          <w:tcPr>
            <w:tcW w:w="5700" w:type="dxa"/>
            <w:vAlign w:val="bottom"/>
          </w:tcPr>
          <w:p>
            <w:pPr>
              <w:spacing w:after="0"/>
              <w:rPr>
                <w:sz w:val="20"/>
                <w:szCs w:val="20"/>
                <w:color w:val="auto"/>
              </w:rPr>
            </w:pPr>
            <w:r>
              <w:rPr>
                <w:rFonts w:ascii="Arial" w:cs="Arial" w:eastAsia="Arial" w:hAnsi="Arial"/>
                <w:sz w:val="12"/>
                <w:szCs w:val="12"/>
                <w:color w:val="auto"/>
              </w:rPr>
              <w:t>William D. Smithburg</w:t>
            </w:r>
          </w:p>
        </w:tc>
        <w:tc>
          <w:tcPr>
            <w:tcW w:w="4900" w:type="dxa"/>
            <w:vAlign w:val="bottom"/>
          </w:tcPr>
          <w:p>
            <w:pPr>
              <w:jc w:val="right"/>
              <w:ind w:right="378"/>
              <w:spacing w:after="0"/>
              <w:rPr>
                <w:sz w:val="20"/>
                <w:szCs w:val="20"/>
                <w:color w:val="auto"/>
              </w:rPr>
            </w:pPr>
            <w:r>
              <w:rPr>
                <w:rFonts w:ascii="Arial" w:cs="Arial" w:eastAsia="Arial" w:hAnsi="Arial"/>
                <w:sz w:val="12"/>
                <w:szCs w:val="12"/>
                <w:color w:val="auto"/>
              </w:rPr>
              <w:t>48,701</w:t>
            </w:r>
          </w:p>
        </w:tc>
        <w:tc>
          <w:tcPr>
            <w:tcW w:w="820" w:type="dxa"/>
            <w:vAlign w:val="bottom"/>
          </w:tcPr>
          <w:p>
            <w:pPr>
              <w:jc w:val="right"/>
              <w:spacing w:after="0"/>
              <w:rPr>
                <w:sz w:val="20"/>
                <w:szCs w:val="20"/>
                <w:color w:val="auto"/>
              </w:rPr>
            </w:pPr>
            <w:r>
              <w:rPr>
                <w:rFonts w:ascii="Arial" w:cs="Arial" w:eastAsia="Arial" w:hAnsi="Arial"/>
                <w:sz w:val="12"/>
                <w:szCs w:val="12"/>
                <w:color w:val="auto"/>
              </w:rPr>
              <w:t>91,160</w:t>
            </w:r>
          </w:p>
        </w:tc>
      </w:tr>
      <w:tr>
        <w:trPr>
          <w:trHeight w:val="97"/>
        </w:trPr>
        <w:tc>
          <w:tcPr>
            <w:tcW w:w="5700" w:type="dxa"/>
            <w:vAlign w:val="bottom"/>
            <w:tcBorders>
              <w:bottom w:val="single" w:sz="8" w:color="808080"/>
            </w:tcBorders>
          </w:tcPr>
          <w:p>
            <w:pPr>
              <w:spacing w:after="0"/>
              <w:rPr>
                <w:sz w:val="8"/>
                <w:szCs w:val="8"/>
                <w:color w:val="auto"/>
              </w:rPr>
            </w:pPr>
          </w:p>
        </w:tc>
        <w:tc>
          <w:tcPr>
            <w:tcW w:w="49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2"/>
                <w:szCs w:val="12"/>
                <w:color w:val="auto"/>
              </w:rPr>
              <w:t>John R. Walter</w:t>
            </w:r>
          </w:p>
        </w:tc>
        <w:tc>
          <w:tcPr>
            <w:tcW w:w="4900" w:type="dxa"/>
            <w:vAlign w:val="bottom"/>
          </w:tcPr>
          <w:p>
            <w:pPr>
              <w:jc w:val="right"/>
              <w:ind w:right="378"/>
              <w:spacing w:after="0"/>
              <w:rPr>
                <w:sz w:val="20"/>
                <w:szCs w:val="20"/>
                <w:color w:val="auto"/>
              </w:rPr>
            </w:pPr>
            <w:r>
              <w:rPr>
                <w:rFonts w:ascii="Arial" w:cs="Arial" w:eastAsia="Arial" w:hAnsi="Arial"/>
                <w:sz w:val="12"/>
                <w:szCs w:val="12"/>
                <w:color w:val="auto"/>
              </w:rPr>
              <w:t>23,161</w:t>
            </w:r>
          </w:p>
        </w:tc>
        <w:tc>
          <w:tcPr>
            <w:tcW w:w="820" w:type="dxa"/>
            <w:vAlign w:val="bottom"/>
          </w:tcPr>
          <w:p>
            <w:pPr>
              <w:jc w:val="right"/>
              <w:spacing w:after="0"/>
              <w:rPr>
                <w:sz w:val="20"/>
                <w:szCs w:val="20"/>
                <w:color w:val="auto"/>
              </w:rPr>
            </w:pPr>
            <w:r>
              <w:rPr>
                <w:rFonts w:ascii="Arial" w:cs="Arial" w:eastAsia="Arial" w:hAnsi="Arial"/>
                <w:sz w:val="12"/>
                <w:szCs w:val="12"/>
                <w:color w:val="auto"/>
              </w:rPr>
              <w:t>25,668</w:t>
            </w:r>
          </w:p>
        </w:tc>
      </w:tr>
      <w:tr>
        <w:trPr>
          <w:trHeight w:val="97"/>
        </w:trPr>
        <w:tc>
          <w:tcPr>
            <w:tcW w:w="5700" w:type="dxa"/>
            <w:vAlign w:val="bottom"/>
            <w:tcBorders>
              <w:bottom w:val="single" w:sz="8" w:color="808080"/>
            </w:tcBorders>
          </w:tcPr>
          <w:p>
            <w:pPr>
              <w:spacing w:after="0"/>
              <w:rPr>
                <w:sz w:val="8"/>
                <w:szCs w:val="8"/>
                <w:color w:val="auto"/>
              </w:rPr>
            </w:pPr>
          </w:p>
        </w:tc>
        <w:tc>
          <w:tcPr>
            <w:tcW w:w="49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2"/>
                <w:szCs w:val="12"/>
                <w:color w:val="auto"/>
              </w:rPr>
              <w:t>Miles D. White</w:t>
            </w:r>
          </w:p>
        </w:tc>
        <w:tc>
          <w:tcPr>
            <w:tcW w:w="4900" w:type="dxa"/>
            <w:vAlign w:val="bottom"/>
          </w:tcPr>
          <w:p>
            <w:pPr>
              <w:jc w:val="right"/>
              <w:ind w:right="378"/>
              <w:spacing w:after="0"/>
              <w:rPr>
                <w:sz w:val="20"/>
                <w:szCs w:val="20"/>
                <w:color w:val="auto"/>
              </w:rPr>
            </w:pPr>
            <w:r>
              <w:rPr>
                <w:rFonts w:ascii="Arial" w:cs="Arial" w:eastAsia="Arial" w:hAnsi="Arial"/>
                <w:sz w:val="12"/>
                <w:szCs w:val="12"/>
                <w:color w:val="auto"/>
              </w:rPr>
              <w:t>363,191</w:t>
            </w:r>
          </w:p>
        </w:tc>
        <w:tc>
          <w:tcPr>
            <w:tcW w:w="820" w:type="dxa"/>
            <w:vAlign w:val="bottom"/>
          </w:tcPr>
          <w:p>
            <w:pPr>
              <w:jc w:val="right"/>
              <w:spacing w:after="0"/>
              <w:rPr>
                <w:sz w:val="20"/>
                <w:szCs w:val="20"/>
                <w:color w:val="auto"/>
              </w:rPr>
            </w:pPr>
            <w:r>
              <w:rPr>
                <w:rFonts w:ascii="Arial" w:cs="Arial" w:eastAsia="Arial" w:hAnsi="Arial"/>
                <w:sz w:val="12"/>
                <w:szCs w:val="12"/>
                <w:color w:val="auto"/>
              </w:rPr>
              <w:t>0</w:t>
            </w:r>
          </w:p>
        </w:tc>
      </w:tr>
      <w:tr>
        <w:trPr>
          <w:trHeight w:val="97"/>
        </w:trPr>
        <w:tc>
          <w:tcPr>
            <w:tcW w:w="5700" w:type="dxa"/>
            <w:vAlign w:val="bottom"/>
            <w:tcBorders>
              <w:bottom w:val="single" w:sz="8" w:color="808080"/>
            </w:tcBorders>
          </w:tcPr>
          <w:p>
            <w:pPr>
              <w:spacing w:after="0"/>
              <w:rPr>
                <w:sz w:val="8"/>
                <w:szCs w:val="8"/>
                <w:color w:val="auto"/>
              </w:rPr>
            </w:pPr>
          </w:p>
        </w:tc>
        <w:tc>
          <w:tcPr>
            <w:tcW w:w="49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2"/>
                <w:szCs w:val="12"/>
                <w:color w:val="auto"/>
              </w:rPr>
              <w:t>All directors and executive officers</w:t>
            </w:r>
          </w:p>
        </w:tc>
        <w:tc>
          <w:tcPr>
            <w:tcW w:w="49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2"/>
                <w:szCs w:val="12"/>
                <w:color w:val="auto"/>
              </w:rPr>
              <w:t>as a group (3)(4)</w:t>
            </w:r>
          </w:p>
        </w:tc>
        <w:tc>
          <w:tcPr>
            <w:tcW w:w="4900" w:type="dxa"/>
            <w:vAlign w:val="bottom"/>
          </w:tcPr>
          <w:p>
            <w:pPr>
              <w:jc w:val="right"/>
              <w:ind w:right="378"/>
              <w:spacing w:after="0"/>
              <w:rPr>
                <w:sz w:val="20"/>
                <w:szCs w:val="20"/>
                <w:color w:val="auto"/>
              </w:rPr>
            </w:pPr>
            <w:r>
              <w:rPr>
                <w:rFonts w:ascii="Arial" w:cs="Arial" w:eastAsia="Arial" w:hAnsi="Arial"/>
                <w:sz w:val="12"/>
                <w:szCs w:val="12"/>
                <w:color w:val="auto"/>
              </w:rPr>
              <w:t>2,375,676</w:t>
            </w:r>
          </w:p>
        </w:tc>
        <w:tc>
          <w:tcPr>
            <w:tcW w:w="820" w:type="dxa"/>
            <w:vAlign w:val="bottom"/>
          </w:tcPr>
          <w:p>
            <w:pPr>
              <w:jc w:val="right"/>
              <w:spacing w:after="0"/>
              <w:rPr>
                <w:sz w:val="20"/>
                <w:szCs w:val="20"/>
                <w:color w:val="auto"/>
              </w:rPr>
            </w:pPr>
            <w:r>
              <w:rPr>
                <w:rFonts w:ascii="Arial" w:cs="Arial" w:eastAsia="Arial" w:hAnsi="Arial"/>
                <w:sz w:val="12"/>
                <w:szCs w:val="12"/>
                <w:color w:val="auto"/>
              </w:rPr>
              <w:t>393,362</w:t>
            </w:r>
          </w:p>
        </w:tc>
      </w:tr>
      <w:tr>
        <w:trPr>
          <w:trHeight w:val="97"/>
        </w:trPr>
        <w:tc>
          <w:tcPr>
            <w:tcW w:w="5700" w:type="dxa"/>
            <w:vAlign w:val="bottom"/>
            <w:tcBorders>
              <w:bottom w:val="single" w:sz="8" w:color="808080"/>
            </w:tcBorders>
          </w:tcPr>
          <w:p>
            <w:pPr>
              <w:spacing w:after="0"/>
              <w:rPr>
                <w:sz w:val="8"/>
                <w:szCs w:val="8"/>
                <w:color w:val="auto"/>
              </w:rPr>
            </w:pPr>
          </w:p>
        </w:tc>
        <w:tc>
          <w:tcPr>
            <w:tcW w:w="49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-786130</wp:posOffset>
            </wp:positionV>
            <wp:extent cx="1270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-786130</wp:posOffset>
            </wp:positionV>
            <wp:extent cx="1270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-557530</wp:posOffset>
            </wp:positionV>
            <wp:extent cx="1270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-557530</wp:posOffset>
            </wp:positionV>
            <wp:extent cx="1270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-328930</wp:posOffset>
            </wp:positionV>
            <wp:extent cx="1270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-328930</wp:posOffset>
            </wp:positionV>
            <wp:extent cx="1270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78" w:lineRule="exact"/>
        <w:rPr>
          <w:sz w:val="20"/>
          <w:szCs w:val="20"/>
          <w:color w:val="auto"/>
        </w:rPr>
      </w:pPr>
    </w:p>
    <w:p>
      <w:pPr>
        <w:jc w:val="both"/>
        <w:ind w:left="501" w:right="20" w:hanging="501"/>
        <w:spacing w:after="0" w:line="329" w:lineRule="auto"/>
        <w:tabs>
          <w:tab w:leader="none" w:pos="501"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table excludes unexercised option shares which are exercisable within 60 days after January 31, 2002, as follows: R. S. Austin, 6,267; C. B. Begley, 291,997; W. G. Dempsey, 244,557; H. L. Fuller, 29,477; R. A. Gonzalez, 299,740; J. M. Greenberg, 6,267; J. M. Leiden, 133,334; D. A. L. Owen, 13,409; W. A. Reynolds, 30,161; R. S. Roberts, 17,561; W. D. Smithburg, 28,305; J. R. Walter, 27,149; M. D. White, 1,349,090; and all directors and executive officers as a group, 4,226,021.</w:t>
      </w:r>
    </w:p>
    <w:p>
      <w:pPr>
        <w:spacing w:after="0" w:line="156" w:lineRule="exact"/>
        <w:rPr>
          <w:rFonts w:ascii="Arial" w:cs="Arial" w:eastAsia="Arial" w:hAnsi="Arial"/>
          <w:sz w:val="14"/>
          <w:szCs w:val="14"/>
          <w:color w:val="auto"/>
        </w:rPr>
      </w:pPr>
    </w:p>
    <w:p>
      <w:pPr>
        <w:ind w:left="501" w:right="160" w:hanging="501"/>
        <w:spacing w:after="0" w:line="273" w:lineRule="auto"/>
        <w:tabs>
          <w:tab w:leader="none" w:pos="50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table includes the shares held in the officers' accounts in the Abbott Laboratories Stock Retirement Trust as follows: C. B. Begley, 13,040; W. G. Dempsey, 9,093; R. A. Gonzalez, 15,488; J. M. Leiden, 196; M. D. White, 12,287; and, all executive officers as a group, 177,827. Each officer has shared voting power and sole investment power with respect to the shares held in his account.</w:t>
      </w:r>
    </w:p>
    <w:p>
      <w:pPr>
        <w:spacing w:after="0" w:line="178" w:lineRule="exact"/>
        <w:rPr>
          <w:rFonts w:ascii="Arial" w:cs="Arial" w:eastAsia="Arial" w:hAnsi="Arial"/>
          <w:sz w:val="16"/>
          <w:szCs w:val="16"/>
          <w:color w:val="auto"/>
        </w:rPr>
      </w:pPr>
    </w:p>
    <w:p>
      <w:pPr>
        <w:ind w:left="501" w:right="80" w:hanging="501"/>
        <w:spacing w:after="0" w:line="299" w:lineRule="auto"/>
        <w:tabs>
          <w:tab w:leader="none" w:pos="501" w:val="left"/>
        </w:tabs>
        <w:numPr>
          <w:ilvl w:val="0"/>
          <w:numId w:val="7"/>
        </w:numPr>
        <w:rPr>
          <w:rFonts w:ascii="Arial" w:cs="Arial" w:eastAsia="Arial" w:hAnsi="Arial"/>
          <w:sz w:val="15"/>
          <w:szCs w:val="15"/>
          <w:color w:val="auto"/>
        </w:rPr>
      </w:pPr>
      <w:r>
        <w:rPr>
          <w:rFonts w:ascii="Arial" w:cs="Arial" w:eastAsia="Arial" w:hAnsi="Arial"/>
          <w:sz w:val="15"/>
          <w:szCs w:val="15"/>
          <w:color w:val="auto"/>
        </w:rPr>
        <w:t>As described under "Information Concerning Security Ownership" on page 3, certain executive officers of Abbott are fiduciaries of several employee benefit trusts maintained by Abbott. As such, they have shared voting and/or investment power with respect to the common shares held by those trusts. The table does not include the shares held by the trusts. As of January 31, 2002, these trusts owned a total of 93,612,958 (6.0%) of the outstanding shares of Abbott.</w:t>
      </w:r>
    </w:p>
    <w:p>
      <w:pPr>
        <w:spacing w:after="0" w:line="161" w:lineRule="exact"/>
        <w:rPr>
          <w:rFonts w:ascii="Arial" w:cs="Arial" w:eastAsia="Arial" w:hAnsi="Arial"/>
          <w:sz w:val="15"/>
          <w:szCs w:val="15"/>
          <w:color w:val="auto"/>
        </w:rPr>
      </w:pPr>
    </w:p>
    <w:p>
      <w:pPr>
        <w:ind w:left="501" w:right="180" w:hanging="501"/>
        <w:spacing w:after="0" w:line="287" w:lineRule="auto"/>
        <w:tabs>
          <w:tab w:leader="none" w:pos="501"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Excluding the shared voting and/or investment power over the shares held by the trusts described in footnote 3, the directors and executive officers as a group together own beneficially less than one percent of the outstanding shares of Abbott.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243840</wp:posOffset>
            </wp:positionV>
            <wp:extent cx="7262495"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679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2495" cy="6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2B85FF"/>
        </w:rPr>
        <w:t>Executive Compensation</w:t>
      </w:r>
    </w:p>
    <w:p>
      <w:pPr>
        <w:spacing w:after="0" w:line="217" w:lineRule="exact"/>
        <w:rPr>
          <w:sz w:val="20"/>
          <w:szCs w:val="20"/>
          <w:color w:val="auto"/>
        </w:rPr>
      </w:pPr>
    </w:p>
    <w:p>
      <w:pPr>
        <w:ind w:left="1"/>
        <w:spacing w:after="0"/>
        <w:rPr>
          <w:sz w:val="20"/>
          <w:szCs w:val="20"/>
          <w:color w:val="auto"/>
        </w:rPr>
      </w:pPr>
      <w:r>
        <w:rPr>
          <w:rFonts w:ascii="Arial" w:cs="Arial" w:eastAsia="Arial" w:hAnsi="Arial"/>
          <w:sz w:val="16"/>
          <w:szCs w:val="16"/>
          <w:color w:val="2B85FF"/>
        </w:rPr>
        <w:t>Report of the Compensation Committee</w:t>
      </w:r>
    </w:p>
    <w:p>
      <w:pPr>
        <w:spacing w:after="0" w:line="213" w:lineRule="exact"/>
        <w:rPr>
          <w:sz w:val="20"/>
          <w:szCs w:val="20"/>
          <w:color w:val="auto"/>
        </w:rPr>
      </w:pPr>
    </w:p>
    <w:p>
      <w:pPr>
        <w:ind w:left="1" w:right="140"/>
        <w:spacing w:after="0" w:line="287" w:lineRule="auto"/>
        <w:rPr>
          <w:sz w:val="20"/>
          <w:szCs w:val="20"/>
          <w:color w:val="auto"/>
        </w:rPr>
      </w:pPr>
      <w:r>
        <w:rPr>
          <w:rFonts w:ascii="Arial" w:cs="Arial" w:eastAsia="Arial" w:hAnsi="Arial"/>
          <w:sz w:val="16"/>
          <w:szCs w:val="16"/>
          <w:color w:val="auto"/>
        </w:rPr>
        <w:t>The Compensation Committee of the board of directors is composed entirely of directors who have never been employees of the corporation. The committee is responsible for setting and administering the policies and programs that govern annual compensation, long-term incentives and stock ownership programs.</w:t>
      </w:r>
    </w:p>
    <w:p>
      <w:pPr>
        <w:spacing w:after="0" w:line="156" w:lineRule="exact"/>
        <w:rPr>
          <w:sz w:val="20"/>
          <w:szCs w:val="20"/>
          <w:color w:val="auto"/>
        </w:rPr>
      </w:pPr>
    </w:p>
    <w:p>
      <w:pPr>
        <w:ind w:left="1" w:right="120"/>
        <w:spacing w:after="0" w:line="287" w:lineRule="auto"/>
        <w:rPr>
          <w:sz w:val="20"/>
          <w:szCs w:val="20"/>
          <w:color w:val="auto"/>
        </w:rPr>
      </w:pPr>
      <w:r>
        <w:rPr>
          <w:rFonts w:ascii="Arial" w:cs="Arial" w:eastAsia="Arial" w:hAnsi="Arial"/>
          <w:sz w:val="16"/>
          <w:szCs w:val="16"/>
          <w:color w:val="auto"/>
        </w:rPr>
        <w:t>The foundation of the executive compensation program is based on principles designed to align compensation with the corporation's business strategy, values and management initiatives. The program:</w:t>
      </w:r>
    </w:p>
    <w:p>
      <w:pPr>
        <w:spacing w:after="0" w:line="156" w:lineRule="exact"/>
        <w:rPr>
          <w:sz w:val="20"/>
          <w:szCs w:val="20"/>
          <w:color w:val="auto"/>
        </w:rPr>
      </w:pPr>
    </w:p>
    <w:p>
      <w:pPr>
        <w:ind w:left="301" w:right="1960" w:hanging="301"/>
        <w:spacing w:after="0" w:line="287" w:lineRule="auto"/>
        <w:tabs>
          <w:tab w:leader="none" w:pos="301"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Integrates compensation programs which link total shareholder return with both the corporation's annual and long-term strategic planning and measurement processes.</w:t>
      </w:r>
    </w:p>
    <w:p>
      <w:pPr>
        <w:spacing w:after="0" w:line="155" w:lineRule="exact"/>
        <w:rPr>
          <w:rFonts w:ascii="Arial" w:cs="Arial" w:eastAsia="Arial" w:hAnsi="Arial"/>
          <w:sz w:val="16"/>
          <w:szCs w:val="16"/>
          <w:color w:val="auto"/>
        </w:rPr>
      </w:pPr>
    </w:p>
    <w:p>
      <w:pPr>
        <w:ind w:left="301" w:right="1740" w:hanging="301"/>
        <w:spacing w:after="0" w:line="287" w:lineRule="auto"/>
        <w:tabs>
          <w:tab w:leader="none" w:pos="301" w:val="left"/>
        </w:tabs>
        <w:numPr>
          <w:ilvl w:val="0"/>
          <w:numId w:val="8"/>
        </w:numPr>
        <w:rPr>
          <w:rFonts w:ascii="Arial" w:cs="Arial" w:eastAsia="Arial" w:hAnsi="Arial"/>
          <w:sz w:val="16"/>
          <w:szCs w:val="16"/>
          <w:color w:val="auto"/>
        </w:rPr>
      </w:pPr>
      <w:r>
        <w:rPr>
          <w:rFonts w:ascii="Arial" w:cs="Arial" w:eastAsia="Arial" w:hAnsi="Arial"/>
          <w:sz w:val="16"/>
          <w:szCs w:val="16"/>
          <w:color w:val="auto"/>
        </w:rPr>
        <w:t>Supports a performance-oriented environment that rewards actual performance that is related to both goals and performance of the corporation as compared to that of industry performance levels.</w:t>
      </w:r>
    </w:p>
    <w:p>
      <w:pPr>
        <w:spacing w:after="0" w:line="155" w:lineRule="exact"/>
        <w:rPr>
          <w:rFonts w:ascii="Arial" w:cs="Arial" w:eastAsia="Arial" w:hAnsi="Arial"/>
          <w:sz w:val="16"/>
          <w:szCs w:val="16"/>
          <w:color w:val="auto"/>
        </w:rPr>
      </w:pPr>
    </w:p>
    <w:p>
      <w:pPr>
        <w:ind w:left="301" w:hanging="301"/>
        <w:spacing w:after="0"/>
        <w:tabs>
          <w:tab w:leader="none" w:pos="301" w:val="left"/>
        </w:tabs>
        <w:numPr>
          <w:ilvl w:val="0"/>
          <w:numId w:val="8"/>
        </w:numPr>
        <w:rPr>
          <w:rFonts w:ascii="Arial" w:cs="Arial" w:eastAsia="Arial" w:hAnsi="Arial"/>
          <w:sz w:val="16"/>
          <w:szCs w:val="16"/>
          <w:color w:val="auto"/>
        </w:rPr>
      </w:pPr>
      <w:r>
        <w:rPr>
          <w:rFonts w:ascii="Arial" w:cs="Arial" w:eastAsia="Arial" w:hAnsi="Arial"/>
          <w:sz w:val="16"/>
          <w:szCs w:val="16"/>
          <w:color w:val="auto"/>
        </w:rPr>
        <w:t>Helps attract and retain key executives who are critical to the long-term success of the corporation.</w:t>
      </w:r>
    </w:p>
    <w:p>
      <w:pPr>
        <w:spacing w:after="0" w:line="213" w:lineRule="exact"/>
        <w:rPr>
          <w:sz w:val="20"/>
          <w:szCs w:val="20"/>
          <w:color w:val="auto"/>
        </w:rPr>
      </w:pPr>
    </w:p>
    <w:p>
      <w:pPr>
        <w:ind w:left="1"/>
        <w:spacing w:after="0" w:line="268" w:lineRule="auto"/>
        <w:rPr>
          <w:sz w:val="20"/>
          <w:szCs w:val="20"/>
          <w:color w:val="auto"/>
        </w:rPr>
      </w:pPr>
      <w:r>
        <w:rPr>
          <w:rFonts w:ascii="Arial" w:cs="Arial" w:eastAsia="Arial" w:hAnsi="Arial"/>
          <w:sz w:val="16"/>
          <w:szCs w:val="16"/>
          <w:color w:val="auto"/>
        </w:rPr>
        <w:t>The key components of the compensation program are base salary, annual incentive award, and long-term incentive awards comprised of equity participation. These components are administered with the goal of providing total compensation that is competitive in the marketplace, recognizes meaningful differences in individual performance, offers the opportunity to earn above average rewards when merited by individual and corporate performance and links management's interest in the company with the interest of all shareholders.</w:t>
      </w:r>
    </w:p>
    <w:p>
      <w:pPr>
        <w:spacing w:after="0" w:line="171" w:lineRule="exact"/>
        <w:rPr>
          <w:sz w:val="20"/>
          <w:szCs w:val="20"/>
          <w:color w:val="auto"/>
        </w:rPr>
      </w:pPr>
    </w:p>
    <w:p>
      <w:pPr>
        <w:ind w:left="1" w:right="120"/>
        <w:spacing w:after="0" w:line="273" w:lineRule="auto"/>
        <w:rPr>
          <w:sz w:val="20"/>
          <w:szCs w:val="20"/>
          <w:color w:val="auto"/>
        </w:rPr>
      </w:pPr>
      <w:r>
        <w:rPr>
          <w:rFonts w:ascii="Arial" w:cs="Arial" w:eastAsia="Arial" w:hAnsi="Arial"/>
          <w:sz w:val="16"/>
          <w:szCs w:val="16"/>
          <w:color w:val="auto"/>
        </w:rPr>
        <w:t>The marketplace is defined by comparing the corporation to a group of major corporations with similar characteristics, including industry and technology emphasis. These companies are included in the Standard and Poor's® Health Care-500 Index. A select group of non-healthcare companies chosen for size and performance comparability to the corporation is used as a secondary source of comparison.</w:t>
      </w:r>
    </w:p>
    <w:p>
      <w:pPr>
        <w:spacing w:after="0" w:line="166" w:lineRule="exact"/>
        <w:rPr>
          <w:sz w:val="20"/>
          <w:szCs w:val="20"/>
          <w:color w:val="auto"/>
        </w:rPr>
      </w:pPr>
    </w:p>
    <w:p>
      <w:pPr>
        <w:ind w:left="1" w:right="80"/>
        <w:spacing w:after="0" w:line="266" w:lineRule="auto"/>
        <w:rPr>
          <w:sz w:val="20"/>
          <w:szCs w:val="20"/>
          <w:color w:val="auto"/>
        </w:rPr>
      </w:pPr>
      <w:r>
        <w:rPr>
          <w:rFonts w:ascii="Arial" w:cs="Arial" w:eastAsia="Arial" w:hAnsi="Arial"/>
          <w:sz w:val="16"/>
          <w:szCs w:val="16"/>
          <w:color w:val="auto"/>
        </w:rPr>
        <w:t>Using compensation survey data from the comparison groups, a target for total compensation and each of its elements — base, incentive and long-term equity-based compensation — is established. The intent is to deliver total compensation that will be in the upper range of pay practices of peer companies when merited by the corporation's performance. To achieve this objective, a substantial portion of executive pay is delivered through performance-related variable compensation programs which are based upon achievement of the corporation's goals. Each year the committee reviews the elements of executive compensation to ensure that the total compensation program, and each of its elements, meets the overall objectives discussed above.</w:t>
      </w:r>
    </w:p>
    <w:p>
      <w:pPr>
        <w:spacing w:after="0" w:line="172" w:lineRule="exact"/>
        <w:rPr>
          <w:sz w:val="20"/>
          <w:szCs w:val="20"/>
          <w:color w:val="auto"/>
        </w:rPr>
      </w:pPr>
    </w:p>
    <w:p>
      <w:pPr>
        <w:ind w:left="1" w:right="20"/>
        <w:spacing w:after="0" w:line="283" w:lineRule="auto"/>
        <w:rPr>
          <w:sz w:val="20"/>
          <w:szCs w:val="20"/>
          <w:color w:val="auto"/>
        </w:rPr>
      </w:pPr>
      <w:r>
        <w:rPr>
          <w:rFonts w:ascii="Arial" w:cs="Arial" w:eastAsia="Arial" w:hAnsi="Arial"/>
          <w:sz w:val="15"/>
          <w:szCs w:val="15"/>
          <w:color w:val="auto"/>
        </w:rPr>
        <w:t>In 2001, total compensation was paid to executives based on individual performance and on the extent to which the business plans for the corporation and their areas of responsibility were achieved or exceeded. Performance goals were substantially met or exceeded and, therefore, compensation was paid accordingly. Base compensation was determined by an assessment of each executive's performance, current salary in relation to the salary range designated for the job, experience and potential for advancement as well as by the performance of the corporation. While many aspects of performance can be measured in financial terms, the committee also evaluated the success of the management team in areas of performance that cannot be measured by traditional accounting tools, including the development and execution of strategic plans, the development of management and employees, and the exercise of leadership within the industry and in the communities that Abbott serves. All of these factors were collectively taken into account by management and the compensation committee in determining the appropriate level of base compensation and annual increases.</w:t>
      </w:r>
    </w:p>
    <w:p>
      <w:pPr>
        <w:spacing w:after="0" w:line="165" w:lineRule="exact"/>
        <w:rPr>
          <w:sz w:val="20"/>
          <w:szCs w:val="20"/>
          <w:color w:val="auto"/>
        </w:rPr>
      </w:pPr>
    </w:p>
    <w:p>
      <w:pPr>
        <w:ind w:left="1"/>
        <w:spacing w:after="0" w:line="312" w:lineRule="auto"/>
        <w:rPr>
          <w:sz w:val="20"/>
          <w:szCs w:val="20"/>
          <w:color w:val="auto"/>
        </w:rPr>
      </w:pPr>
      <w:r>
        <w:rPr>
          <w:rFonts w:ascii="Arial" w:cs="Arial" w:eastAsia="Arial" w:hAnsi="Arial"/>
          <w:sz w:val="14"/>
          <w:szCs w:val="14"/>
          <w:color w:val="auto"/>
        </w:rPr>
        <w:t>The Abbott Performance Incentive Plan (PIP) and Management Incentive Plan (MIP) are designed to reward executives when the corporation achieves certain financial objectives and when each executive's area of responsibility meets its predetermined goals. These goals include financial elements such as consolidated net earnings, profitability, total sales and earnings per share, and non-financial elements such as the achievement of selected strategic goals and the successful development of human resources, including Abbott's diversity initiative. Each year, individual base award allocations are established for PIP participants as a percentage of consolidated net earnings. For 2001, each PIP participant's final award allocation was based on the committee's overall assessment of each participant's achievement of the predetermined goals discussed above.</w:t>
      </w:r>
    </w:p>
    <w:p>
      <w:pPr>
        <w:spacing w:after="0" w:line="145" w:lineRule="exact"/>
        <w:rPr>
          <w:sz w:val="20"/>
          <w:szCs w:val="20"/>
          <w:color w:val="auto"/>
        </w:rPr>
      </w:pPr>
    </w:p>
    <w:p>
      <w:pPr>
        <w:jc w:val="both"/>
        <w:ind w:left="1" w:right="300"/>
        <w:spacing w:after="0" w:line="273" w:lineRule="auto"/>
        <w:rPr>
          <w:sz w:val="20"/>
          <w:szCs w:val="20"/>
          <w:color w:val="auto"/>
        </w:rPr>
      </w:pPr>
      <w:r>
        <w:rPr>
          <w:rFonts w:ascii="Arial" w:cs="Arial" w:eastAsia="Arial" w:hAnsi="Arial"/>
          <w:sz w:val="16"/>
          <w:szCs w:val="16"/>
          <w:color w:val="auto"/>
        </w:rPr>
        <w:t>Each year, individual incentive targets are established for MIP participants based on competitive survey data from the group of companies discussed above. As noted above, awards are paid at levels commensurate with performance of the company relative to peer group companies. Under the MIP, 40% of a participant's target incentive award is attributable to corporate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62495"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205" w:right="239" w:bottom="0" w:gutter="0" w:footer="0" w:header="0"/>
        </w:sectPr>
      </w:pPr>
    </w:p>
    <w:bookmarkStart w:id="9" w:name="page10"/>
    <w:bookmarkEnd w:id="9"/>
    <w:p>
      <w:pPr>
        <w:spacing w:after="0" w:line="3" w:lineRule="exact"/>
        <w:rPr>
          <w:sz w:val="20"/>
          <w:szCs w:val="20"/>
          <w:color w:val="auto"/>
        </w:rPr>
      </w:pPr>
    </w:p>
    <w:p>
      <w:pPr>
        <w:ind w:left="1"/>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
        <w:spacing w:after="0"/>
        <w:rPr>
          <w:sz w:val="20"/>
          <w:szCs w:val="20"/>
          <w:color w:val="auto"/>
        </w:rPr>
      </w:pPr>
      <w:r>
        <w:rPr>
          <w:rFonts w:ascii="Arial" w:cs="Arial" w:eastAsia="Arial" w:hAnsi="Arial"/>
          <w:sz w:val="15"/>
          <w:szCs w:val="15"/>
          <w:color w:val="auto"/>
        </w:rPr>
        <w:t>The remainder of the incentive award is based on the committee's overall assessment of each participant's achievement of the predetermined goals discussed above.</w:t>
      </w:r>
    </w:p>
    <w:p>
      <w:pPr>
        <w:spacing w:after="0" w:line="225" w:lineRule="exact"/>
        <w:rPr>
          <w:sz w:val="20"/>
          <w:szCs w:val="20"/>
          <w:color w:val="auto"/>
        </w:rPr>
      </w:pPr>
    </w:p>
    <w:p>
      <w:pPr>
        <w:ind w:left="1" w:right="60"/>
        <w:spacing w:after="0" w:line="273" w:lineRule="auto"/>
        <w:rPr>
          <w:sz w:val="20"/>
          <w:szCs w:val="20"/>
          <w:color w:val="auto"/>
        </w:rPr>
      </w:pPr>
      <w:r>
        <w:rPr>
          <w:rFonts w:ascii="Arial" w:cs="Arial" w:eastAsia="Arial" w:hAnsi="Arial"/>
          <w:sz w:val="16"/>
          <w:szCs w:val="16"/>
          <w:color w:val="auto"/>
        </w:rPr>
        <w:t>To motivate and reward its executives and managers and to directly align key employee and shareholder interests, the corporation has provided long-term incentives in the form of equity participation for many years. Grants of stock options, replacement stock options and restricted stock awards are important parts of this relationship. To ensure this objective is achieved, executives follow fixed stock ownership guidelines.</w:t>
      </w:r>
    </w:p>
    <w:p>
      <w:pPr>
        <w:spacing w:after="0" w:line="166" w:lineRule="exact"/>
        <w:rPr>
          <w:sz w:val="20"/>
          <w:szCs w:val="20"/>
          <w:color w:val="auto"/>
        </w:rPr>
      </w:pPr>
    </w:p>
    <w:p>
      <w:pPr>
        <w:ind w:left="1" w:right="60"/>
        <w:spacing w:after="0" w:line="273" w:lineRule="auto"/>
        <w:rPr>
          <w:sz w:val="20"/>
          <w:szCs w:val="20"/>
          <w:color w:val="auto"/>
        </w:rPr>
      </w:pPr>
      <w:r>
        <w:rPr>
          <w:rFonts w:ascii="Arial" w:cs="Arial" w:eastAsia="Arial" w:hAnsi="Arial"/>
          <w:sz w:val="16"/>
          <w:szCs w:val="16"/>
          <w:color w:val="auto"/>
        </w:rPr>
        <w:t>Targeted award ranges for stock options and restricted stock opportunities are determined taking into account competitive practice among the comparison companies noted above. Equity participation targets are set based on established salary ranges and level of performance. As noted above, the target ranges are established such that equity awards are appropriately scaled to the performance of the company within its peer group.</w:t>
      </w:r>
    </w:p>
    <w:p>
      <w:pPr>
        <w:spacing w:after="0" w:line="166" w:lineRule="exact"/>
        <w:rPr>
          <w:sz w:val="20"/>
          <w:szCs w:val="20"/>
          <w:color w:val="auto"/>
        </w:rPr>
      </w:pPr>
    </w:p>
    <w:p>
      <w:pPr>
        <w:jc w:val="both"/>
        <w:ind w:left="1" w:right="220"/>
        <w:spacing w:after="0" w:line="362" w:lineRule="auto"/>
        <w:rPr>
          <w:sz w:val="20"/>
          <w:szCs w:val="20"/>
          <w:color w:val="auto"/>
        </w:rPr>
      </w:pPr>
      <w:r>
        <w:rPr>
          <w:rFonts w:ascii="Arial" w:cs="Arial" w:eastAsia="Arial" w:hAnsi="Arial"/>
          <w:sz w:val="14"/>
          <w:szCs w:val="14"/>
          <w:color w:val="auto"/>
        </w:rPr>
        <w:t>Actual individual awards are determined based on the established competitive target range and the committee's overall assessment of individual performance. The committee considers the amounts of options and restricted stock previously granted and the aggregate size of current awards in deciding to award additional options and restricted stock.</w:t>
      </w:r>
    </w:p>
    <w:p>
      <w:pPr>
        <w:spacing w:after="0" w:line="110" w:lineRule="exact"/>
        <w:rPr>
          <w:sz w:val="20"/>
          <w:szCs w:val="20"/>
          <w:color w:val="auto"/>
        </w:rPr>
      </w:pPr>
    </w:p>
    <w:p>
      <w:pPr>
        <w:ind w:left="1" w:right="240"/>
        <w:spacing w:after="0" w:line="266" w:lineRule="auto"/>
        <w:rPr>
          <w:sz w:val="20"/>
          <w:szCs w:val="20"/>
          <w:color w:val="auto"/>
        </w:rPr>
      </w:pPr>
      <w:r>
        <w:rPr>
          <w:rFonts w:ascii="Arial" w:cs="Arial" w:eastAsia="Arial" w:hAnsi="Arial"/>
          <w:sz w:val="16"/>
          <w:szCs w:val="16"/>
          <w:color w:val="auto"/>
        </w:rPr>
        <w:t>In 2001, the committee granted Mr. White, the corporation's Chairman and Chief Executive Officer, a base salary increase of 4.0%. As reflected in the corporation's financial statements, Abbott's performance in 2001 included an 18.5% growth in sales, and a 5.6% growth in diluted earnings per share, excluding certain non-recurring charges. In addition, the committee noted that Abbott's stock price in 2001 increased by 15.1% in a difficult year for both the industry and the stock market in general. In light of this performance and their overall assessment of his performance, particularly the successful integration of the Knoll acquisition, the committee determined to award Mr. White a bonus, a stock option grant and an award of restricted stock.</w:t>
      </w:r>
    </w:p>
    <w:p>
      <w:pPr>
        <w:spacing w:after="0" w:line="172" w:lineRule="exact"/>
        <w:rPr>
          <w:sz w:val="20"/>
          <w:szCs w:val="20"/>
          <w:color w:val="auto"/>
        </w:rPr>
      </w:pPr>
    </w:p>
    <w:p>
      <w:pPr>
        <w:ind w:left="1" w:right="120"/>
        <w:spacing w:after="0" w:line="273" w:lineRule="auto"/>
        <w:rPr>
          <w:sz w:val="20"/>
          <w:szCs w:val="20"/>
          <w:color w:val="auto"/>
        </w:rPr>
      </w:pPr>
      <w:r>
        <w:rPr>
          <w:rFonts w:ascii="Arial" w:cs="Arial" w:eastAsia="Arial" w:hAnsi="Arial"/>
          <w:sz w:val="16"/>
          <w:szCs w:val="16"/>
          <w:color w:val="auto"/>
        </w:rPr>
        <w:t>It is the committee's policy to establish and maintain compensation programs for executive officers which operate in the best interests of the corporation and its stockholders in achieving the corporation's long-term business objectives. To that end, the committee continues to assess the impact of the Omnibus Budget Reconciliation Act of 1993 on its executive compensation strategy and takes action to assure that appropriate levels of deductibility are maintained.</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6"/>
          <w:szCs w:val="16"/>
          <w:i w:val="1"/>
          <w:iCs w:val="1"/>
          <w:u w:val="single" w:color="auto"/>
          <w:color w:val="auto"/>
        </w:rPr>
        <w:t>Compensation Committee</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color w:val="auto"/>
        </w:rPr>
        <w:t>H. L. Fuller, chairman, J. M. Greenberg, B. Powell Jr., A. B. Rand, and W. D. Smithburg.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548005</wp:posOffset>
            </wp:positionV>
            <wp:extent cx="7262495"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
        <w:spacing w:after="0"/>
        <w:rPr>
          <w:sz w:val="20"/>
          <w:szCs w:val="20"/>
          <w:color w:val="auto"/>
        </w:rPr>
      </w:pPr>
      <w:r>
        <w:rPr>
          <w:rFonts w:ascii="Arial" w:cs="Arial" w:eastAsia="Arial" w:hAnsi="Arial"/>
          <w:sz w:val="16"/>
          <w:szCs w:val="16"/>
          <w:color w:val="2B85FF"/>
        </w:rPr>
        <w:t>Summary Compensation Table</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table summarizes compensation earned in 2001, 2000 and 1999 by the named officers.</w:t>
      </w:r>
    </w:p>
    <w:p>
      <w:pPr>
        <w:spacing w:after="0" w:line="209"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80" w:type="dxa"/>
            <w:vAlign w:val="bottom"/>
          </w:tcPr>
          <w:p>
            <w:pPr>
              <w:jc w:val="right"/>
              <w:ind w:right="178"/>
              <w:spacing w:after="0"/>
              <w:rPr>
                <w:sz w:val="20"/>
                <w:szCs w:val="20"/>
                <w:color w:val="auto"/>
              </w:rPr>
            </w:pPr>
            <w:r>
              <w:rPr>
                <w:rFonts w:ascii="Arial" w:cs="Arial" w:eastAsia="Arial" w:hAnsi="Arial"/>
                <w:sz w:val="12"/>
                <w:szCs w:val="12"/>
                <w:b w:val="1"/>
                <w:bCs w:val="1"/>
                <w:color w:val="auto"/>
              </w:rPr>
              <w:t>Annual Compensation</w:t>
            </w: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20" w:type="dxa"/>
            <w:vAlign w:val="bottom"/>
            <w:gridSpan w:val="2"/>
          </w:tcPr>
          <w:p>
            <w:pPr>
              <w:jc w:val="right"/>
              <w:ind w:right="658"/>
              <w:spacing w:after="0"/>
              <w:rPr>
                <w:sz w:val="20"/>
                <w:szCs w:val="20"/>
                <w:color w:val="auto"/>
              </w:rPr>
            </w:pPr>
            <w:r>
              <w:rPr>
                <w:rFonts w:ascii="Arial" w:cs="Arial" w:eastAsia="Arial" w:hAnsi="Arial"/>
                <w:sz w:val="12"/>
                <w:szCs w:val="12"/>
                <w:b w:val="1"/>
                <w:bCs w:val="1"/>
                <w:color w:val="auto"/>
              </w:rPr>
              <w:t>Long-term Compensation</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9"/>
              </w:rPr>
              <w:t>Other</w:t>
            </w: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40" w:type="dxa"/>
            <w:vAlign w:val="bottom"/>
          </w:tcPr>
          <w:p>
            <w:pPr>
              <w:jc w:val="center"/>
              <w:ind w:left="178"/>
              <w:spacing w:after="0"/>
              <w:rPr>
                <w:sz w:val="20"/>
                <w:szCs w:val="20"/>
                <w:color w:val="auto"/>
              </w:rPr>
            </w:pPr>
            <w:r>
              <w:rPr>
                <w:rFonts w:ascii="Arial" w:cs="Arial" w:eastAsia="Arial" w:hAnsi="Arial"/>
                <w:sz w:val="12"/>
                <w:szCs w:val="12"/>
                <w:b w:val="1"/>
                <w:bCs w:val="1"/>
                <w:color w:val="auto"/>
                <w:w w:val="90"/>
              </w:rPr>
              <w:t>Securities</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8"/>
              </w:rPr>
              <w:t>Annual</w:t>
            </w:r>
          </w:p>
        </w:tc>
        <w:tc>
          <w:tcPr>
            <w:tcW w:w="340" w:type="dxa"/>
            <w:vAlign w:val="bottom"/>
          </w:tcPr>
          <w:p>
            <w:pPr>
              <w:spacing w:after="0"/>
              <w:rPr>
                <w:sz w:val="11"/>
                <w:szCs w:val="11"/>
                <w:color w:val="auto"/>
              </w:rPr>
            </w:pPr>
          </w:p>
        </w:tc>
        <w:tc>
          <w:tcPr>
            <w:tcW w:w="1580" w:type="dxa"/>
            <w:vAlign w:val="bottom"/>
          </w:tcPr>
          <w:p>
            <w:pPr>
              <w:jc w:val="center"/>
              <w:ind w:right="58"/>
              <w:spacing w:after="0" w:line="137" w:lineRule="exact"/>
              <w:rPr>
                <w:sz w:val="20"/>
                <w:szCs w:val="20"/>
                <w:color w:val="auto"/>
              </w:rPr>
            </w:pPr>
            <w:r>
              <w:rPr>
                <w:rFonts w:ascii="Arial" w:cs="Arial" w:eastAsia="Arial" w:hAnsi="Arial"/>
                <w:sz w:val="12"/>
                <w:szCs w:val="12"/>
                <w:b w:val="1"/>
                <w:bCs w:val="1"/>
                <w:color w:val="auto"/>
                <w:w w:val="91"/>
              </w:rPr>
              <w:t>Restricted</w:t>
            </w:r>
          </w:p>
        </w:tc>
        <w:tc>
          <w:tcPr>
            <w:tcW w:w="1240" w:type="dxa"/>
            <w:vAlign w:val="bottom"/>
          </w:tcPr>
          <w:p>
            <w:pPr>
              <w:jc w:val="center"/>
              <w:ind w:left="178"/>
              <w:spacing w:after="0" w:line="137" w:lineRule="exact"/>
              <w:rPr>
                <w:sz w:val="20"/>
                <w:szCs w:val="20"/>
                <w:color w:val="auto"/>
              </w:rPr>
            </w:pPr>
            <w:r>
              <w:rPr>
                <w:rFonts w:ascii="Arial" w:cs="Arial" w:eastAsia="Arial" w:hAnsi="Arial"/>
                <w:sz w:val="12"/>
                <w:szCs w:val="12"/>
                <w:b w:val="1"/>
                <w:bCs w:val="1"/>
                <w:color w:val="auto"/>
                <w:w w:val="95"/>
              </w:rPr>
              <w:t>Underlying</w:t>
            </w:r>
          </w:p>
        </w:tc>
        <w:tc>
          <w:tcPr>
            <w:tcW w:w="1140" w:type="dxa"/>
            <w:vAlign w:val="bottom"/>
          </w:tcPr>
          <w:p>
            <w:pPr>
              <w:jc w:val="center"/>
              <w:ind w:left="298"/>
              <w:spacing w:after="0" w:line="137" w:lineRule="exact"/>
              <w:rPr>
                <w:sz w:val="20"/>
                <w:szCs w:val="20"/>
                <w:color w:val="auto"/>
              </w:rPr>
            </w:pPr>
            <w:r>
              <w:rPr>
                <w:rFonts w:ascii="Arial" w:cs="Arial" w:eastAsia="Arial" w:hAnsi="Arial"/>
                <w:sz w:val="12"/>
                <w:szCs w:val="12"/>
                <w:b w:val="1"/>
                <w:bCs w:val="1"/>
                <w:color w:val="auto"/>
                <w:w w:val="98"/>
              </w:rPr>
              <w:t>All Other</w:t>
            </w:r>
          </w:p>
        </w:tc>
        <w:tc>
          <w:tcPr>
            <w:tcW w:w="0" w:type="dxa"/>
            <w:vAlign w:val="bottom"/>
          </w:tcPr>
          <w:p>
            <w:pPr>
              <w:spacing w:after="0"/>
              <w:rPr>
                <w:sz w:val="1"/>
                <w:szCs w:val="1"/>
                <w:color w:val="auto"/>
              </w:rPr>
            </w:pPr>
          </w:p>
        </w:tc>
      </w:tr>
      <w:tr>
        <w:trPr>
          <w:trHeight w:val="137"/>
        </w:trPr>
        <w:tc>
          <w:tcPr>
            <w:tcW w:w="2100" w:type="dxa"/>
            <w:vAlign w:val="bottom"/>
          </w:tcPr>
          <w:p>
            <w:pPr>
              <w:spacing w:after="0" w:line="137" w:lineRule="exact"/>
              <w:rPr>
                <w:sz w:val="20"/>
                <w:szCs w:val="20"/>
                <w:color w:val="auto"/>
              </w:rPr>
            </w:pPr>
            <w:r>
              <w:rPr>
                <w:rFonts w:ascii="Arial" w:cs="Arial" w:eastAsia="Arial" w:hAnsi="Arial"/>
                <w:sz w:val="12"/>
                <w:szCs w:val="12"/>
                <w:b w:val="1"/>
                <w:bCs w:val="1"/>
                <w:color w:val="auto"/>
              </w:rPr>
              <w:t>Name and</w:t>
            </w:r>
          </w:p>
        </w:tc>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2"/>
              </w:rPr>
              <w:t>Compen-</w:t>
            </w:r>
          </w:p>
        </w:tc>
        <w:tc>
          <w:tcPr>
            <w:tcW w:w="340" w:type="dxa"/>
            <w:vAlign w:val="bottom"/>
          </w:tcPr>
          <w:p>
            <w:pPr>
              <w:spacing w:after="0"/>
              <w:rPr>
                <w:sz w:val="11"/>
                <w:szCs w:val="11"/>
                <w:color w:val="auto"/>
              </w:rPr>
            </w:pPr>
          </w:p>
        </w:tc>
        <w:tc>
          <w:tcPr>
            <w:tcW w:w="1580" w:type="dxa"/>
            <w:vAlign w:val="bottom"/>
          </w:tcPr>
          <w:p>
            <w:pPr>
              <w:jc w:val="center"/>
              <w:ind w:right="58"/>
              <w:spacing w:after="0" w:line="137" w:lineRule="exact"/>
              <w:rPr>
                <w:sz w:val="20"/>
                <w:szCs w:val="20"/>
                <w:color w:val="auto"/>
              </w:rPr>
            </w:pPr>
            <w:r>
              <w:rPr>
                <w:rFonts w:ascii="Arial" w:cs="Arial" w:eastAsia="Arial" w:hAnsi="Arial"/>
                <w:sz w:val="12"/>
                <w:szCs w:val="12"/>
                <w:b w:val="1"/>
                <w:bCs w:val="1"/>
                <w:color w:val="auto"/>
                <w:w w:val="91"/>
              </w:rPr>
              <w:t>Stock</w:t>
            </w:r>
          </w:p>
        </w:tc>
        <w:tc>
          <w:tcPr>
            <w:tcW w:w="1240" w:type="dxa"/>
            <w:vAlign w:val="bottom"/>
          </w:tcPr>
          <w:p>
            <w:pPr>
              <w:jc w:val="center"/>
              <w:ind w:left="178"/>
              <w:spacing w:after="0" w:line="137" w:lineRule="exact"/>
              <w:rPr>
                <w:sz w:val="20"/>
                <w:szCs w:val="20"/>
                <w:color w:val="auto"/>
              </w:rPr>
            </w:pPr>
            <w:r>
              <w:rPr>
                <w:rFonts w:ascii="Arial" w:cs="Arial" w:eastAsia="Arial" w:hAnsi="Arial"/>
                <w:sz w:val="12"/>
                <w:szCs w:val="12"/>
                <w:b w:val="1"/>
                <w:bCs w:val="1"/>
                <w:color w:val="auto"/>
                <w:w w:val="90"/>
              </w:rPr>
              <w:t>Options/</w:t>
            </w:r>
          </w:p>
        </w:tc>
        <w:tc>
          <w:tcPr>
            <w:tcW w:w="1140" w:type="dxa"/>
            <w:vAlign w:val="bottom"/>
          </w:tcPr>
          <w:p>
            <w:pPr>
              <w:jc w:val="center"/>
              <w:ind w:left="298"/>
              <w:spacing w:after="0" w:line="137" w:lineRule="exact"/>
              <w:rPr>
                <w:sz w:val="20"/>
                <w:szCs w:val="20"/>
                <w:color w:val="auto"/>
              </w:rPr>
            </w:pPr>
            <w:r>
              <w:rPr>
                <w:rFonts w:ascii="Arial" w:cs="Arial" w:eastAsia="Arial" w:hAnsi="Arial"/>
                <w:sz w:val="12"/>
                <w:szCs w:val="12"/>
                <w:b w:val="1"/>
                <w:bCs w:val="1"/>
                <w:color w:val="auto"/>
                <w:w w:val="96"/>
              </w:rPr>
              <w:t>Compen-</w:t>
            </w:r>
          </w:p>
        </w:tc>
        <w:tc>
          <w:tcPr>
            <w:tcW w:w="0" w:type="dxa"/>
            <w:vAlign w:val="bottom"/>
          </w:tcPr>
          <w:p>
            <w:pPr>
              <w:spacing w:after="0"/>
              <w:rPr>
                <w:sz w:val="1"/>
                <w:szCs w:val="1"/>
                <w:color w:val="auto"/>
              </w:rPr>
            </w:pPr>
          </w:p>
        </w:tc>
      </w:tr>
      <w:tr>
        <w:trPr>
          <w:trHeight w:val="161"/>
        </w:trPr>
        <w:tc>
          <w:tcPr>
            <w:tcW w:w="2100" w:type="dxa"/>
            <w:vAlign w:val="bottom"/>
          </w:tcPr>
          <w:p>
            <w:pPr>
              <w:spacing w:after="0"/>
              <w:rPr>
                <w:sz w:val="20"/>
                <w:szCs w:val="20"/>
                <w:color w:val="auto"/>
              </w:rPr>
            </w:pPr>
            <w:r>
              <w:rPr>
                <w:rFonts w:ascii="Arial" w:cs="Arial" w:eastAsia="Arial" w:hAnsi="Arial"/>
                <w:sz w:val="12"/>
                <w:szCs w:val="12"/>
                <w:b w:val="1"/>
                <w:bCs w:val="1"/>
                <w:color w:val="auto"/>
              </w:rPr>
              <w:t>Principal Position</w:t>
            </w:r>
          </w:p>
        </w:tc>
        <w:tc>
          <w:tcPr>
            <w:tcW w:w="1220" w:type="dxa"/>
            <w:vAlign w:val="bottom"/>
          </w:tcPr>
          <w:p>
            <w:pPr>
              <w:ind w:left="520"/>
              <w:spacing w:after="0"/>
              <w:rPr>
                <w:sz w:val="20"/>
                <w:szCs w:val="20"/>
                <w:color w:val="auto"/>
              </w:rPr>
            </w:pPr>
            <w:r>
              <w:rPr>
                <w:rFonts w:ascii="Arial" w:cs="Arial" w:eastAsia="Arial" w:hAnsi="Arial"/>
                <w:sz w:val="12"/>
                <w:szCs w:val="12"/>
                <w:b w:val="1"/>
                <w:bCs w:val="1"/>
                <w:color w:val="auto"/>
              </w:rPr>
              <w:t>Year</w:t>
            </w:r>
          </w:p>
        </w:tc>
        <w:tc>
          <w:tcPr>
            <w:tcW w:w="1060" w:type="dxa"/>
            <w:vAlign w:val="bottom"/>
          </w:tcPr>
          <w:p>
            <w:pPr>
              <w:jc w:val="right"/>
              <w:ind w:right="218"/>
              <w:spacing w:after="0"/>
              <w:rPr>
                <w:sz w:val="20"/>
                <w:szCs w:val="20"/>
                <w:color w:val="auto"/>
              </w:rPr>
            </w:pPr>
            <w:r>
              <w:rPr>
                <w:rFonts w:ascii="Arial" w:cs="Arial" w:eastAsia="Arial" w:hAnsi="Arial"/>
                <w:sz w:val="12"/>
                <w:szCs w:val="12"/>
                <w:b w:val="1"/>
                <w:bCs w:val="1"/>
                <w:color w:val="auto"/>
              </w:rPr>
              <w:t>Salary ($)</w:t>
            </w:r>
          </w:p>
        </w:tc>
        <w:tc>
          <w:tcPr>
            <w:tcW w:w="1680" w:type="dxa"/>
            <w:vAlign w:val="bottom"/>
          </w:tcPr>
          <w:p>
            <w:pPr>
              <w:jc w:val="right"/>
              <w:ind w:right="518"/>
              <w:spacing w:after="0"/>
              <w:rPr>
                <w:sz w:val="20"/>
                <w:szCs w:val="20"/>
                <w:color w:val="auto"/>
              </w:rPr>
            </w:pPr>
            <w:r>
              <w:rPr>
                <w:rFonts w:ascii="Arial" w:cs="Arial" w:eastAsia="Arial" w:hAnsi="Arial"/>
                <w:sz w:val="12"/>
                <w:szCs w:val="12"/>
                <w:b w:val="1"/>
                <w:bCs w:val="1"/>
                <w:color w:val="auto"/>
              </w:rPr>
              <w:t>Bonus ($)</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3"/>
              </w:rPr>
              <w:t>sation ($)</w:t>
            </w:r>
          </w:p>
        </w:tc>
        <w:tc>
          <w:tcPr>
            <w:tcW w:w="340" w:type="dxa"/>
            <w:vAlign w:val="bottom"/>
          </w:tcPr>
          <w:p>
            <w:pPr>
              <w:spacing w:after="0"/>
              <w:rPr>
                <w:sz w:val="13"/>
                <w:szCs w:val="13"/>
                <w:color w:val="auto"/>
              </w:rPr>
            </w:pPr>
          </w:p>
        </w:tc>
        <w:tc>
          <w:tcPr>
            <w:tcW w:w="1580" w:type="dxa"/>
            <w:vAlign w:val="bottom"/>
          </w:tcPr>
          <w:p>
            <w:pPr>
              <w:jc w:val="center"/>
              <w:ind w:right="38"/>
              <w:spacing w:after="0"/>
              <w:rPr>
                <w:sz w:val="20"/>
                <w:szCs w:val="20"/>
                <w:color w:val="auto"/>
              </w:rPr>
            </w:pPr>
            <w:r>
              <w:rPr>
                <w:rFonts w:ascii="Arial" w:cs="Arial" w:eastAsia="Arial" w:hAnsi="Arial"/>
                <w:sz w:val="12"/>
                <w:szCs w:val="12"/>
                <w:b w:val="1"/>
                <w:bCs w:val="1"/>
                <w:color w:val="auto"/>
                <w:w w:val="95"/>
              </w:rPr>
              <w:t>Award(s) ($)(1)</w:t>
            </w:r>
          </w:p>
        </w:tc>
        <w:tc>
          <w:tcPr>
            <w:tcW w:w="1240" w:type="dxa"/>
            <w:vAlign w:val="bottom"/>
          </w:tcPr>
          <w:p>
            <w:pPr>
              <w:jc w:val="center"/>
              <w:ind w:left="178"/>
              <w:spacing w:after="0"/>
              <w:rPr>
                <w:sz w:val="20"/>
                <w:szCs w:val="20"/>
                <w:color w:val="auto"/>
              </w:rPr>
            </w:pPr>
            <w:r>
              <w:rPr>
                <w:rFonts w:ascii="Arial" w:cs="Arial" w:eastAsia="Arial" w:hAnsi="Arial"/>
                <w:sz w:val="12"/>
                <w:szCs w:val="12"/>
                <w:b w:val="1"/>
                <w:bCs w:val="1"/>
                <w:color w:val="auto"/>
                <w:w w:val="95"/>
              </w:rPr>
              <w:t>SARs (#)</w:t>
            </w:r>
          </w:p>
        </w:tc>
        <w:tc>
          <w:tcPr>
            <w:tcW w:w="1140" w:type="dxa"/>
            <w:vAlign w:val="bottom"/>
          </w:tcPr>
          <w:p>
            <w:pPr>
              <w:jc w:val="center"/>
              <w:ind w:left="278"/>
              <w:spacing w:after="0"/>
              <w:rPr>
                <w:sz w:val="20"/>
                <w:szCs w:val="20"/>
                <w:color w:val="auto"/>
              </w:rPr>
            </w:pPr>
            <w:r>
              <w:rPr>
                <w:rFonts w:ascii="Arial" w:cs="Arial" w:eastAsia="Arial" w:hAnsi="Arial"/>
                <w:sz w:val="12"/>
                <w:szCs w:val="12"/>
                <w:b w:val="1"/>
                <w:bCs w:val="1"/>
                <w:color w:val="auto"/>
                <w:w w:val="94"/>
              </w:rPr>
              <w:t>sation ($)(2)</w:t>
            </w:r>
          </w:p>
        </w:tc>
        <w:tc>
          <w:tcPr>
            <w:tcW w:w="0" w:type="dxa"/>
            <w:vAlign w:val="bottom"/>
          </w:tcPr>
          <w:p>
            <w:pPr>
              <w:spacing w:after="0"/>
              <w:rPr>
                <w:sz w:val="1"/>
                <w:szCs w:val="1"/>
                <w:color w:val="auto"/>
              </w:rPr>
            </w:pPr>
          </w:p>
        </w:tc>
      </w:tr>
      <w:tr>
        <w:trPr>
          <w:trHeight w:val="320"/>
        </w:trPr>
        <w:tc>
          <w:tcPr>
            <w:tcW w:w="21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gridSpan w:val="2"/>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100" w:type="dxa"/>
            <w:vAlign w:val="bottom"/>
          </w:tcPr>
          <w:p>
            <w:pPr>
              <w:spacing w:after="0"/>
              <w:rPr>
                <w:sz w:val="20"/>
                <w:szCs w:val="20"/>
                <w:color w:val="auto"/>
              </w:rPr>
            </w:pPr>
            <w:r>
              <w:rPr>
                <w:rFonts w:ascii="Arial" w:cs="Arial" w:eastAsia="Arial" w:hAnsi="Arial"/>
                <w:sz w:val="12"/>
                <w:szCs w:val="12"/>
                <w:color w:val="auto"/>
              </w:rPr>
              <w:t>Miles D. White</w:t>
            </w:r>
          </w:p>
        </w:tc>
        <w:tc>
          <w:tcPr>
            <w:tcW w:w="1220" w:type="dxa"/>
            <w:vAlign w:val="bottom"/>
          </w:tcPr>
          <w:p>
            <w:pPr>
              <w:ind w:left="520"/>
              <w:spacing w:after="0"/>
              <w:rPr>
                <w:sz w:val="20"/>
                <w:szCs w:val="20"/>
                <w:color w:val="auto"/>
              </w:rPr>
            </w:pPr>
            <w:r>
              <w:rPr>
                <w:rFonts w:ascii="Arial" w:cs="Arial" w:eastAsia="Arial" w:hAnsi="Arial"/>
                <w:sz w:val="12"/>
                <w:szCs w:val="12"/>
                <w:color w:val="auto"/>
              </w:rPr>
              <w:t>2001</w:t>
            </w:r>
          </w:p>
        </w:tc>
        <w:tc>
          <w:tcPr>
            <w:tcW w:w="1060" w:type="dxa"/>
            <w:vAlign w:val="bottom"/>
          </w:tcPr>
          <w:p>
            <w:pPr>
              <w:jc w:val="right"/>
              <w:ind w:right="198"/>
              <w:spacing w:after="0"/>
              <w:rPr>
                <w:sz w:val="20"/>
                <w:szCs w:val="20"/>
                <w:color w:val="auto"/>
              </w:rPr>
            </w:pPr>
            <w:r>
              <w:rPr>
                <w:rFonts w:ascii="Arial" w:cs="Arial" w:eastAsia="Arial" w:hAnsi="Arial"/>
                <w:sz w:val="12"/>
                <w:szCs w:val="12"/>
                <w:color w:val="auto"/>
              </w:rPr>
              <w:t>$1,445,662</w:t>
            </w:r>
          </w:p>
        </w:tc>
        <w:tc>
          <w:tcPr>
            <w:tcW w:w="1680" w:type="dxa"/>
            <w:vAlign w:val="bottom"/>
          </w:tcPr>
          <w:p>
            <w:pPr>
              <w:jc w:val="right"/>
              <w:ind w:right="498"/>
              <w:spacing w:after="0"/>
              <w:rPr>
                <w:sz w:val="20"/>
                <w:szCs w:val="20"/>
                <w:color w:val="auto"/>
              </w:rPr>
            </w:pPr>
            <w:r>
              <w:rPr>
                <w:rFonts w:ascii="Arial" w:cs="Arial" w:eastAsia="Arial" w:hAnsi="Arial"/>
                <w:sz w:val="12"/>
                <w:szCs w:val="12"/>
                <w:color w:val="auto"/>
              </w:rPr>
              <w:t>$2,100,000</w:t>
            </w:r>
          </w:p>
        </w:tc>
        <w:tc>
          <w:tcPr>
            <w:tcW w:w="1060" w:type="dxa"/>
            <w:vAlign w:val="bottom"/>
          </w:tcPr>
          <w:p>
            <w:pPr>
              <w:jc w:val="right"/>
              <w:ind w:right="258"/>
              <w:spacing w:after="0"/>
              <w:rPr>
                <w:sz w:val="20"/>
                <w:szCs w:val="20"/>
                <w:color w:val="auto"/>
              </w:rPr>
            </w:pPr>
            <w:r>
              <w:rPr>
                <w:rFonts w:ascii="Arial" w:cs="Arial" w:eastAsia="Arial" w:hAnsi="Arial"/>
                <w:sz w:val="12"/>
                <w:szCs w:val="12"/>
                <w:color w:val="auto"/>
              </w:rPr>
              <w:t>$104,247</w:t>
            </w:r>
          </w:p>
        </w:tc>
        <w:tc>
          <w:tcPr>
            <w:tcW w:w="1920" w:type="dxa"/>
            <w:vAlign w:val="bottom"/>
            <w:gridSpan w:val="2"/>
          </w:tcPr>
          <w:p>
            <w:pPr>
              <w:jc w:val="right"/>
              <w:ind w:right="498"/>
              <w:spacing w:after="0"/>
              <w:rPr>
                <w:sz w:val="20"/>
                <w:szCs w:val="20"/>
                <w:color w:val="auto"/>
              </w:rPr>
            </w:pPr>
            <w:r>
              <w:rPr>
                <w:rFonts w:ascii="Arial" w:cs="Arial" w:eastAsia="Arial" w:hAnsi="Arial"/>
                <w:sz w:val="12"/>
                <w:szCs w:val="12"/>
                <w:color w:val="auto"/>
              </w:rPr>
              <w:t>$2,089,000</w:t>
            </w:r>
          </w:p>
        </w:tc>
        <w:tc>
          <w:tcPr>
            <w:tcW w:w="1240" w:type="dxa"/>
            <w:vAlign w:val="bottom"/>
          </w:tcPr>
          <w:p>
            <w:pPr>
              <w:jc w:val="right"/>
              <w:ind w:right="278"/>
              <w:spacing w:after="0"/>
              <w:rPr>
                <w:sz w:val="20"/>
                <w:szCs w:val="20"/>
                <w:color w:val="auto"/>
              </w:rPr>
            </w:pPr>
            <w:r>
              <w:rPr>
                <w:rFonts w:ascii="Arial" w:cs="Arial" w:eastAsia="Arial" w:hAnsi="Arial"/>
                <w:sz w:val="12"/>
                <w:szCs w:val="12"/>
                <w:color w:val="auto"/>
              </w:rPr>
              <w:t>525,000</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$68,719</w:t>
            </w:r>
          </w:p>
        </w:tc>
        <w:tc>
          <w:tcPr>
            <w:tcW w:w="0" w:type="dxa"/>
            <w:vAlign w:val="bottom"/>
          </w:tcPr>
          <w:p>
            <w:pPr>
              <w:spacing w:after="0"/>
              <w:rPr>
                <w:sz w:val="1"/>
                <w:szCs w:val="1"/>
                <w:color w:val="auto"/>
              </w:rPr>
            </w:pPr>
          </w:p>
        </w:tc>
      </w:tr>
      <w:tr>
        <w:trPr>
          <w:trHeight w:val="137"/>
        </w:trPr>
        <w:tc>
          <w:tcPr>
            <w:tcW w:w="2100" w:type="dxa"/>
            <w:vAlign w:val="bottom"/>
          </w:tcPr>
          <w:p>
            <w:pPr>
              <w:spacing w:after="0" w:line="137" w:lineRule="exact"/>
              <w:rPr>
                <w:sz w:val="20"/>
                <w:szCs w:val="20"/>
                <w:color w:val="auto"/>
              </w:rPr>
            </w:pPr>
            <w:r>
              <w:rPr>
                <w:rFonts w:ascii="Arial" w:cs="Arial" w:eastAsia="Arial" w:hAnsi="Arial"/>
                <w:sz w:val="12"/>
                <w:szCs w:val="12"/>
                <w:color w:val="auto"/>
              </w:rPr>
              <w:t>Chairman of the Board,</w:t>
            </w:r>
          </w:p>
        </w:tc>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40" w:type="dxa"/>
            <w:vAlign w:val="bottom"/>
          </w:tcPr>
          <w:p>
            <w:pPr>
              <w:jc w:val="right"/>
              <w:ind w:right="158"/>
              <w:spacing w:after="0" w:line="137" w:lineRule="exact"/>
              <w:rPr>
                <w:sz w:val="20"/>
                <w:szCs w:val="20"/>
                <w:color w:val="auto"/>
              </w:rPr>
            </w:pPr>
            <w:r>
              <w:rPr>
                <w:rFonts w:ascii="Arial" w:cs="Arial" w:eastAsia="Arial" w:hAnsi="Arial"/>
                <w:sz w:val="12"/>
                <w:szCs w:val="12"/>
                <w:color w:val="auto"/>
              </w:rPr>
              <w:t>223,302(3)</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100" w:type="dxa"/>
            <w:vAlign w:val="bottom"/>
          </w:tcPr>
          <w:p>
            <w:pPr>
              <w:spacing w:after="0" w:line="137" w:lineRule="exact"/>
              <w:rPr>
                <w:sz w:val="20"/>
                <w:szCs w:val="20"/>
                <w:color w:val="auto"/>
              </w:rPr>
            </w:pPr>
            <w:r>
              <w:rPr>
                <w:rFonts w:ascii="Arial" w:cs="Arial" w:eastAsia="Arial" w:hAnsi="Arial"/>
                <w:sz w:val="12"/>
                <w:szCs w:val="12"/>
                <w:color w:val="auto"/>
              </w:rPr>
              <w:t>Chief Executive Officer</w:t>
            </w:r>
          </w:p>
        </w:tc>
        <w:tc>
          <w:tcPr>
            <w:tcW w:w="1220" w:type="dxa"/>
            <w:vAlign w:val="bottom"/>
          </w:tcPr>
          <w:p>
            <w:pPr>
              <w:ind w:left="520"/>
              <w:spacing w:after="0" w:line="137" w:lineRule="exact"/>
              <w:rPr>
                <w:sz w:val="20"/>
                <w:szCs w:val="20"/>
                <w:color w:val="auto"/>
              </w:rPr>
            </w:pPr>
            <w:r>
              <w:rPr>
                <w:rFonts w:ascii="Arial" w:cs="Arial" w:eastAsia="Arial" w:hAnsi="Arial"/>
                <w:sz w:val="12"/>
                <w:szCs w:val="12"/>
                <w:color w:val="auto"/>
              </w:rPr>
              <w:t>2000</w:t>
            </w:r>
          </w:p>
        </w:tc>
        <w:tc>
          <w:tcPr>
            <w:tcW w:w="1060" w:type="dxa"/>
            <w:vAlign w:val="bottom"/>
          </w:tcPr>
          <w:p>
            <w:pPr>
              <w:jc w:val="right"/>
              <w:ind w:right="198"/>
              <w:spacing w:after="0" w:line="137" w:lineRule="exact"/>
              <w:rPr>
                <w:sz w:val="20"/>
                <w:szCs w:val="20"/>
                <w:color w:val="auto"/>
              </w:rPr>
            </w:pPr>
            <w:r>
              <w:rPr>
                <w:rFonts w:ascii="Arial" w:cs="Arial" w:eastAsia="Arial" w:hAnsi="Arial"/>
                <w:sz w:val="12"/>
                <w:szCs w:val="12"/>
                <w:color w:val="auto"/>
              </w:rPr>
              <w:t>1,390,961</w:t>
            </w:r>
          </w:p>
        </w:tc>
        <w:tc>
          <w:tcPr>
            <w:tcW w:w="1680" w:type="dxa"/>
            <w:vAlign w:val="bottom"/>
          </w:tcPr>
          <w:p>
            <w:pPr>
              <w:jc w:val="right"/>
              <w:ind w:right="498"/>
              <w:spacing w:after="0" w:line="137" w:lineRule="exact"/>
              <w:rPr>
                <w:sz w:val="20"/>
                <w:szCs w:val="20"/>
                <w:color w:val="auto"/>
              </w:rPr>
            </w:pPr>
            <w:r>
              <w:rPr>
                <w:rFonts w:ascii="Arial" w:cs="Arial" w:eastAsia="Arial" w:hAnsi="Arial"/>
                <w:sz w:val="12"/>
                <w:szCs w:val="12"/>
                <w:color w:val="auto"/>
              </w:rPr>
              <w:t>1,800,000</w:t>
            </w: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auto"/>
                <w:w w:val="92"/>
              </w:rPr>
              <w:t>68,881</w:t>
            </w:r>
          </w:p>
        </w:tc>
        <w:tc>
          <w:tcPr>
            <w:tcW w:w="1920" w:type="dxa"/>
            <w:vAlign w:val="bottom"/>
            <w:gridSpan w:val="2"/>
          </w:tcPr>
          <w:p>
            <w:pPr>
              <w:jc w:val="right"/>
              <w:ind w:right="538"/>
              <w:spacing w:after="0" w:line="137" w:lineRule="exact"/>
              <w:rPr>
                <w:sz w:val="20"/>
                <w:szCs w:val="20"/>
                <w:color w:val="auto"/>
              </w:rPr>
            </w:pPr>
            <w:r>
              <w:rPr>
                <w:rFonts w:ascii="Arial" w:cs="Arial" w:eastAsia="Arial" w:hAnsi="Arial"/>
                <w:sz w:val="12"/>
                <w:szCs w:val="12"/>
                <w:color w:val="auto"/>
              </w:rPr>
              <w:t>0</w:t>
            </w:r>
          </w:p>
        </w:tc>
        <w:tc>
          <w:tcPr>
            <w:tcW w:w="1240" w:type="dxa"/>
            <w:vAlign w:val="bottom"/>
          </w:tcPr>
          <w:p>
            <w:pPr>
              <w:jc w:val="right"/>
              <w:ind w:right="278"/>
              <w:spacing w:after="0" w:line="137" w:lineRule="exact"/>
              <w:rPr>
                <w:sz w:val="20"/>
                <w:szCs w:val="20"/>
                <w:color w:val="auto"/>
              </w:rPr>
            </w:pPr>
            <w:r>
              <w:rPr>
                <w:rFonts w:ascii="Arial" w:cs="Arial" w:eastAsia="Arial" w:hAnsi="Arial"/>
                <w:sz w:val="12"/>
                <w:szCs w:val="12"/>
                <w:color w:val="auto"/>
              </w:rPr>
              <w:t>450,000</w:t>
            </w:r>
          </w:p>
        </w:tc>
        <w:tc>
          <w:tcPr>
            <w:tcW w:w="1140" w:type="dxa"/>
            <w:vAlign w:val="bottom"/>
          </w:tcPr>
          <w:p>
            <w:pPr>
              <w:jc w:val="right"/>
              <w:ind w:right="138"/>
              <w:spacing w:after="0" w:line="137" w:lineRule="exact"/>
              <w:rPr>
                <w:sz w:val="20"/>
                <w:szCs w:val="20"/>
                <w:color w:val="auto"/>
              </w:rPr>
            </w:pPr>
            <w:r>
              <w:rPr>
                <w:rFonts w:ascii="Arial" w:cs="Arial" w:eastAsia="Arial" w:hAnsi="Arial"/>
                <w:sz w:val="12"/>
                <w:szCs w:val="12"/>
                <w:color w:val="auto"/>
              </w:rPr>
              <w:t>63,946</w:t>
            </w: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2"/>
                <w:szCs w:val="12"/>
                <w:color w:val="auto"/>
              </w:rPr>
              <w:t>and Director</w:t>
            </w:r>
          </w:p>
        </w:tc>
        <w:tc>
          <w:tcPr>
            <w:tcW w:w="1220" w:type="dxa"/>
            <w:vAlign w:val="bottom"/>
            <w:vMerge w:val="restart"/>
          </w:tcPr>
          <w:p>
            <w:pPr>
              <w:ind w:left="520"/>
              <w:spacing w:after="0"/>
              <w:rPr>
                <w:sz w:val="20"/>
                <w:szCs w:val="20"/>
                <w:color w:val="auto"/>
              </w:rPr>
            </w:pPr>
            <w:r>
              <w:rPr>
                <w:rFonts w:ascii="Arial" w:cs="Arial" w:eastAsia="Arial" w:hAnsi="Arial"/>
                <w:sz w:val="12"/>
                <w:szCs w:val="12"/>
                <w:color w:val="auto"/>
              </w:rPr>
              <w:t>1999</w:t>
            </w:r>
          </w:p>
        </w:tc>
        <w:tc>
          <w:tcPr>
            <w:tcW w:w="1060" w:type="dxa"/>
            <w:vAlign w:val="bottom"/>
            <w:vMerge w:val="restart"/>
          </w:tcPr>
          <w:p>
            <w:pPr>
              <w:jc w:val="right"/>
              <w:ind w:right="198"/>
              <w:spacing w:after="0"/>
              <w:rPr>
                <w:sz w:val="20"/>
                <w:szCs w:val="20"/>
                <w:color w:val="auto"/>
              </w:rPr>
            </w:pPr>
            <w:r>
              <w:rPr>
                <w:rFonts w:ascii="Arial" w:cs="Arial" w:eastAsia="Arial" w:hAnsi="Arial"/>
                <w:sz w:val="12"/>
                <w:szCs w:val="12"/>
                <w:color w:val="auto"/>
              </w:rPr>
              <w:t>1,306,731</w:t>
            </w:r>
          </w:p>
        </w:tc>
        <w:tc>
          <w:tcPr>
            <w:tcW w:w="1680" w:type="dxa"/>
            <w:vAlign w:val="bottom"/>
            <w:vMerge w:val="restart"/>
          </w:tcPr>
          <w:p>
            <w:pPr>
              <w:jc w:val="right"/>
              <w:ind w:right="518"/>
              <w:spacing w:after="0"/>
              <w:rPr>
                <w:sz w:val="20"/>
                <w:szCs w:val="20"/>
                <w:color w:val="auto"/>
              </w:rPr>
            </w:pPr>
            <w:r>
              <w:rPr>
                <w:rFonts w:ascii="Arial" w:cs="Arial" w:eastAsia="Arial" w:hAnsi="Arial"/>
                <w:sz w:val="12"/>
                <w:szCs w:val="12"/>
                <w:color w:val="auto"/>
              </w:rPr>
              <w:t>800,000</w:t>
            </w:r>
          </w:p>
        </w:tc>
        <w:tc>
          <w:tcPr>
            <w:tcW w:w="1060" w:type="dxa"/>
            <w:vAlign w:val="bottom"/>
            <w:vMerge w:val="restart"/>
          </w:tcPr>
          <w:p>
            <w:pPr>
              <w:jc w:val="center"/>
              <w:spacing w:after="0"/>
              <w:rPr>
                <w:sz w:val="20"/>
                <w:szCs w:val="20"/>
                <w:color w:val="auto"/>
              </w:rPr>
            </w:pPr>
            <w:r>
              <w:rPr>
                <w:rFonts w:ascii="Arial" w:cs="Arial" w:eastAsia="Arial" w:hAnsi="Arial"/>
                <w:sz w:val="12"/>
                <w:szCs w:val="12"/>
                <w:color w:val="auto"/>
                <w:w w:val="92"/>
              </w:rPr>
              <w:t>40,662</w:t>
            </w:r>
          </w:p>
        </w:tc>
        <w:tc>
          <w:tcPr>
            <w:tcW w:w="1920" w:type="dxa"/>
            <w:vAlign w:val="bottom"/>
            <w:gridSpan w:val="2"/>
            <w:vMerge w:val="restart"/>
          </w:tcPr>
          <w:p>
            <w:pPr>
              <w:jc w:val="right"/>
              <w:ind w:right="538"/>
              <w:spacing w:after="0"/>
              <w:rPr>
                <w:sz w:val="20"/>
                <w:szCs w:val="20"/>
                <w:color w:val="auto"/>
              </w:rPr>
            </w:pPr>
            <w:r>
              <w:rPr>
                <w:rFonts w:ascii="Arial" w:cs="Arial" w:eastAsia="Arial" w:hAnsi="Arial"/>
                <w:sz w:val="12"/>
                <w:szCs w:val="12"/>
                <w:color w:val="auto"/>
              </w:rPr>
              <w:t>0</w:t>
            </w:r>
          </w:p>
        </w:tc>
        <w:tc>
          <w:tcPr>
            <w:tcW w:w="1240" w:type="dxa"/>
            <w:vAlign w:val="bottom"/>
            <w:vMerge w:val="restart"/>
          </w:tcPr>
          <w:p>
            <w:pPr>
              <w:jc w:val="right"/>
              <w:ind w:right="278"/>
              <w:spacing w:after="0"/>
              <w:rPr>
                <w:sz w:val="20"/>
                <w:szCs w:val="20"/>
                <w:color w:val="auto"/>
              </w:rPr>
            </w:pPr>
            <w:r>
              <w:rPr>
                <w:rFonts w:ascii="Arial" w:cs="Arial" w:eastAsia="Arial" w:hAnsi="Arial"/>
                <w:sz w:val="12"/>
                <w:szCs w:val="12"/>
                <w:color w:val="auto"/>
              </w:rPr>
              <w:t>350,000</w:t>
            </w:r>
          </w:p>
        </w:tc>
        <w:tc>
          <w:tcPr>
            <w:tcW w:w="1140" w:type="dxa"/>
            <w:vAlign w:val="bottom"/>
            <w:vMerge w:val="restart"/>
          </w:tcPr>
          <w:p>
            <w:pPr>
              <w:jc w:val="right"/>
              <w:ind w:right="138"/>
              <w:spacing w:after="0"/>
              <w:rPr>
                <w:sz w:val="20"/>
                <w:szCs w:val="20"/>
                <w:color w:val="auto"/>
              </w:rPr>
            </w:pPr>
            <w:r>
              <w:rPr>
                <w:rFonts w:ascii="Arial" w:cs="Arial" w:eastAsia="Arial" w:hAnsi="Arial"/>
                <w:sz w:val="12"/>
                <w:szCs w:val="12"/>
                <w:color w:val="auto"/>
              </w:rPr>
              <w:t>55,087</w:t>
            </w:r>
          </w:p>
        </w:tc>
        <w:tc>
          <w:tcPr>
            <w:tcW w:w="0" w:type="dxa"/>
            <w:vAlign w:val="bottom"/>
          </w:tcPr>
          <w:p>
            <w:pPr>
              <w:spacing w:after="0"/>
              <w:rPr>
                <w:sz w:val="1"/>
                <w:szCs w:val="1"/>
                <w:color w:val="auto"/>
              </w:rPr>
            </w:pPr>
          </w:p>
        </w:tc>
      </w:tr>
      <w:tr>
        <w:trPr>
          <w:trHeight w:val="116"/>
        </w:trPr>
        <w:tc>
          <w:tcPr>
            <w:tcW w:w="21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jc w:val="right"/>
              <w:ind w:right="158"/>
              <w:spacing w:after="0"/>
              <w:rPr>
                <w:sz w:val="20"/>
                <w:szCs w:val="20"/>
                <w:color w:val="auto"/>
              </w:rPr>
            </w:pPr>
            <w:r>
              <w:rPr>
                <w:rFonts w:ascii="Arial" w:cs="Arial" w:eastAsia="Arial" w:hAnsi="Arial"/>
                <w:sz w:val="12"/>
                <w:szCs w:val="12"/>
                <w:color w:val="auto"/>
              </w:rPr>
              <w:t>89,895(3)</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1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gridSpan w:val="2"/>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100" w:type="dxa"/>
            <w:vAlign w:val="bottom"/>
          </w:tcPr>
          <w:p>
            <w:pPr>
              <w:spacing w:after="0"/>
              <w:rPr>
                <w:sz w:val="20"/>
                <w:szCs w:val="20"/>
                <w:color w:val="auto"/>
              </w:rPr>
            </w:pPr>
            <w:r>
              <w:rPr>
                <w:rFonts w:ascii="Arial" w:cs="Arial" w:eastAsia="Arial" w:hAnsi="Arial"/>
                <w:sz w:val="12"/>
                <w:szCs w:val="12"/>
                <w:color w:val="auto"/>
              </w:rPr>
              <w:t>Richard A. Gonzalez</w:t>
            </w:r>
          </w:p>
        </w:tc>
        <w:tc>
          <w:tcPr>
            <w:tcW w:w="1220" w:type="dxa"/>
            <w:vAlign w:val="bottom"/>
          </w:tcPr>
          <w:p>
            <w:pPr>
              <w:ind w:left="520"/>
              <w:spacing w:after="0"/>
              <w:rPr>
                <w:sz w:val="20"/>
                <w:szCs w:val="20"/>
                <w:color w:val="auto"/>
              </w:rPr>
            </w:pPr>
            <w:r>
              <w:rPr>
                <w:rFonts w:ascii="Arial" w:cs="Arial" w:eastAsia="Arial" w:hAnsi="Arial"/>
                <w:sz w:val="12"/>
                <w:szCs w:val="12"/>
                <w:color w:val="auto"/>
              </w:rPr>
              <w:t>2001</w:t>
            </w:r>
          </w:p>
        </w:tc>
        <w:tc>
          <w:tcPr>
            <w:tcW w:w="1060" w:type="dxa"/>
            <w:vAlign w:val="bottom"/>
          </w:tcPr>
          <w:p>
            <w:pPr>
              <w:jc w:val="right"/>
              <w:ind w:right="218"/>
              <w:spacing w:after="0"/>
              <w:rPr>
                <w:sz w:val="20"/>
                <w:szCs w:val="20"/>
                <w:color w:val="auto"/>
              </w:rPr>
            </w:pPr>
            <w:r>
              <w:rPr>
                <w:rFonts w:ascii="Arial" w:cs="Arial" w:eastAsia="Arial" w:hAnsi="Arial"/>
                <w:sz w:val="12"/>
                <w:szCs w:val="12"/>
                <w:color w:val="auto"/>
              </w:rPr>
              <w:t>593,754</w:t>
            </w:r>
          </w:p>
        </w:tc>
        <w:tc>
          <w:tcPr>
            <w:tcW w:w="1680" w:type="dxa"/>
            <w:vAlign w:val="bottom"/>
          </w:tcPr>
          <w:p>
            <w:pPr>
              <w:jc w:val="right"/>
              <w:ind w:right="518"/>
              <w:spacing w:after="0"/>
              <w:rPr>
                <w:sz w:val="20"/>
                <w:szCs w:val="20"/>
                <w:color w:val="auto"/>
              </w:rPr>
            </w:pPr>
            <w:r>
              <w:rPr>
                <w:rFonts w:ascii="Arial" w:cs="Arial" w:eastAsia="Arial" w:hAnsi="Arial"/>
                <w:sz w:val="12"/>
                <w:szCs w:val="12"/>
                <w:color w:val="auto"/>
              </w:rPr>
              <w:t>642,000</w:t>
            </w:r>
          </w:p>
        </w:tc>
        <w:tc>
          <w:tcPr>
            <w:tcW w:w="1060" w:type="dxa"/>
            <w:vAlign w:val="bottom"/>
          </w:tcPr>
          <w:p>
            <w:pPr>
              <w:jc w:val="center"/>
              <w:spacing w:after="0"/>
              <w:rPr>
                <w:sz w:val="20"/>
                <w:szCs w:val="20"/>
                <w:color w:val="auto"/>
              </w:rPr>
            </w:pPr>
            <w:r>
              <w:rPr>
                <w:rFonts w:ascii="Arial" w:cs="Arial" w:eastAsia="Arial" w:hAnsi="Arial"/>
                <w:sz w:val="12"/>
                <w:szCs w:val="12"/>
                <w:color w:val="auto"/>
                <w:w w:val="92"/>
              </w:rPr>
              <w:t>50,938</w:t>
            </w:r>
          </w:p>
        </w:tc>
        <w:tc>
          <w:tcPr>
            <w:tcW w:w="1920" w:type="dxa"/>
            <w:vAlign w:val="bottom"/>
            <w:gridSpan w:val="2"/>
          </w:tcPr>
          <w:p>
            <w:pPr>
              <w:jc w:val="right"/>
              <w:ind w:right="538"/>
              <w:spacing w:after="0"/>
              <w:rPr>
                <w:sz w:val="20"/>
                <w:szCs w:val="20"/>
                <w:color w:val="auto"/>
              </w:rPr>
            </w:pPr>
            <w:r>
              <w:rPr>
                <w:rFonts w:ascii="Arial" w:cs="Arial" w:eastAsia="Arial" w:hAnsi="Arial"/>
                <w:sz w:val="12"/>
                <w:szCs w:val="12"/>
                <w:color w:val="auto"/>
              </w:rPr>
              <w:t>0</w:t>
            </w:r>
          </w:p>
        </w:tc>
        <w:tc>
          <w:tcPr>
            <w:tcW w:w="1240" w:type="dxa"/>
            <w:vAlign w:val="bottom"/>
          </w:tcPr>
          <w:p>
            <w:pPr>
              <w:jc w:val="right"/>
              <w:ind w:right="298"/>
              <w:spacing w:after="0"/>
              <w:rPr>
                <w:sz w:val="20"/>
                <w:szCs w:val="20"/>
                <w:color w:val="auto"/>
              </w:rPr>
            </w:pPr>
            <w:r>
              <w:rPr>
                <w:rFonts w:ascii="Arial" w:cs="Arial" w:eastAsia="Arial" w:hAnsi="Arial"/>
                <w:sz w:val="12"/>
                <w:szCs w:val="12"/>
                <w:color w:val="auto"/>
              </w:rPr>
              <w:t>250,000</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28,642</w:t>
            </w:r>
          </w:p>
        </w:tc>
        <w:tc>
          <w:tcPr>
            <w:tcW w:w="0" w:type="dxa"/>
            <w:vAlign w:val="bottom"/>
          </w:tcPr>
          <w:p>
            <w:pPr>
              <w:spacing w:after="0"/>
              <w:rPr>
                <w:sz w:val="1"/>
                <w:szCs w:val="1"/>
                <w:color w:val="auto"/>
              </w:rPr>
            </w:pPr>
          </w:p>
        </w:tc>
      </w:tr>
      <w:tr>
        <w:trPr>
          <w:trHeight w:val="137"/>
        </w:trPr>
        <w:tc>
          <w:tcPr>
            <w:tcW w:w="2100" w:type="dxa"/>
            <w:vAlign w:val="bottom"/>
          </w:tcPr>
          <w:p>
            <w:pPr>
              <w:spacing w:after="0" w:line="137" w:lineRule="exact"/>
              <w:rPr>
                <w:sz w:val="20"/>
                <w:szCs w:val="20"/>
                <w:color w:val="auto"/>
              </w:rPr>
            </w:pPr>
            <w:r>
              <w:rPr>
                <w:rFonts w:ascii="Arial" w:cs="Arial" w:eastAsia="Arial" w:hAnsi="Arial"/>
                <w:sz w:val="12"/>
                <w:szCs w:val="12"/>
                <w:color w:val="auto"/>
              </w:rPr>
              <w:t>President and Chief</w:t>
            </w:r>
          </w:p>
        </w:tc>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40" w:type="dxa"/>
            <w:vAlign w:val="bottom"/>
          </w:tcPr>
          <w:p>
            <w:pPr>
              <w:jc w:val="center"/>
              <w:ind w:left="178"/>
              <w:spacing w:after="0" w:line="137" w:lineRule="exact"/>
              <w:rPr>
                <w:sz w:val="20"/>
                <w:szCs w:val="20"/>
                <w:color w:val="auto"/>
              </w:rPr>
            </w:pPr>
            <w:r>
              <w:rPr>
                <w:rFonts w:ascii="Arial" w:cs="Arial" w:eastAsia="Arial" w:hAnsi="Arial"/>
                <w:sz w:val="12"/>
                <w:szCs w:val="12"/>
                <w:color w:val="auto"/>
                <w:w w:val="93"/>
              </w:rPr>
              <w:t>89,723(3)</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100" w:type="dxa"/>
            <w:vAlign w:val="bottom"/>
          </w:tcPr>
          <w:p>
            <w:pPr>
              <w:spacing w:after="0" w:line="137" w:lineRule="exact"/>
              <w:rPr>
                <w:sz w:val="20"/>
                <w:szCs w:val="20"/>
                <w:color w:val="auto"/>
              </w:rPr>
            </w:pPr>
            <w:r>
              <w:rPr>
                <w:rFonts w:ascii="Arial" w:cs="Arial" w:eastAsia="Arial" w:hAnsi="Arial"/>
                <w:sz w:val="12"/>
                <w:szCs w:val="12"/>
                <w:color w:val="auto"/>
              </w:rPr>
              <w:t>Operating Officer,</w:t>
            </w:r>
          </w:p>
        </w:tc>
        <w:tc>
          <w:tcPr>
            <w:tcW w:w="1220" w:type="dxa"/>
            <w:vAlign w:val="bottom"/>
          </w:tcPr>
          <w:p>
            <w:pPr>
              <w:ind w:left="520"/>
              <w:spacing w:after="0" w:line="137" w:lineRule="exact"/>
              <w:rPr>
                <w:sz w:val="20"/>
                <w:szCs w:val="20"/>
                <w:color w:val="auto"/>
              </w:rPr>
            </w:pPr>
            <w:r>
              <w:rPr>
                <w:rFonts w:ascii="Arial" w:cs="Arial" w:eastAsia="Arial" w:hAnsi="Arial"/>
                <w:sz w:val="12"/>
                <w:szCs w:val="12"/>
                <w:color w:val="auto"/>
              </w:rPr>
              <w:t>2000</w:t>
            </w:r>
          </w:p>
        </w:tc>
        <w:tc>
          <w:tcPr>
            <w:tcW w:w="1060" w:type="dxa"/>
            <w:vAlign w:val="bottom"/>
          </w:tcPr>
          <w:p>
            <w:pPr>
              <w:jc w:val="right"/>
              <w:ind w:right="218"/>
              <w:spacing w:after="0" w:line="137" w:lineRule="exact"/>
              <w:rPr>
                <w:sz w:val="20"/>
                <w:szCs w:val="20"/>
                <w:color w:val="auto"/>
              </w:rPr>
            </w:pPr>
            <w:r>
              <w:rPr>
                <w:rFonts w:ascii="Arial" w:cs="Arial" w:eastAsia="Arial" w:hAnsi="Arial"/>
                <w:sz w:val="12"/>
                <w:szCs w:val="12"/>
                <w:color w:val="auto"/>
              </w:rPr>
              <w:t>469,673</w:t>
            </w:r>
          </w:p>
        </w:tc>
        <w:tc>
          <w:tcPr>
            <w:tcW w:w="168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517,000</w:t>
            </w: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auto"/>
                <w:w w:val="92"/>
              </w:rPr>
              <w:t>32,351</w:t>
            </w:r>
          </w:p>
        </w:tc>
        <w:tc>
          <w:tcPr>
            <w:tcW w:w="1920" w:type="dxa"/>
            <w:vAlign w:val="bottom"/>
            <w:gridSpan w:val="2"/>
          </w:tcPr>
          <w:p>
            <w:pPr>
              <w:jc w:val="right"/>
              <w:ind w:right="518"/>
              <w:spacing w:after="0" w:line="137" w:lineRule="exact"/>
              <w:rPr>
                <w:sz w:val="20"/>
                <w:szCs w:val="20"/>
                <w:color w:val="auto"/>
              </w:rPr>
            </w:pPr>
            <w:r>
              <w:rPr>
                <w:rFonts w:ascii="Arial" w:cs="Arial" w:eastAsia="Arial" w:hAnsi="Arial"/>
                <w:sz w:val="12"/>
                <w:szCs w:val="12"/>
                <w:color w:val="auto"/>
              </w:rPr>
              <w:t>767,188</w:t>
            </w:r>
          </w:p>
        </w:tc>
        <w:tc>
          <w:tcPr>
            <w:tcW w:w="1240" w:type="dxa"/>
            <w:vAlign w:val="bottom"/>
          </w:tcPr>
          <w:p>
            <w:pPr>
              <w:jc w:val="right"/>
              <w:ind w:right="298"/>
              <w:spacing w:after="0" w:line="137" w:lineRule="exact"/>
              <w:rPr>
                <w:sz w:val="20"/>
                <w:szCs w:val="20"/>
                <w:color w:val="auto"/>
              </w:rPr>
            </w:pPr>
            <w:r>
              <w:rPr>
                <w:rFonts w:ascii="Arial" w:cs="Arial" w:eastAsia="Arial" w:hAnsi="Arial"/>
                <w:sz w:val="12"/>
                <w:szCs w:val="12"/>
                <w:color w:val="auto"/>
              </w:rPr>
              <w:t>120,000</w:t>
            </w:r>
          </w:p>
        </w:tc>
        <w:tc>
          <w:tcPr>
            <w:tcW w:w="1140" w:type="dxa"/>
            <w:vAlign w:val="bottom"/>
          </w:tcPr>
          <w:p>
            <w:pPr>
              <w:jc w:val="right"/>
              <w:ind w:right="138"/>
              <w:spacing w:after="0" w:line="137" w:lineRule="exact"/>
              <w:rPr>
                <w:sz w:val="20"/>
                <w:szCs w:val="20"/>
                <w:color w:val="auto"/>
              </w:rPr>
            </w:pPr>
            <w:r>
              <w:rPr>
                <w:rFonts w:ascii="Arial" w:cs="Arial" w:eastAsia="Arial" w:hAnsi="Arial"/>
                <w:sz w:val="12"/>
                <w:szCs w:val="12"/>
                <w:color w:val="auto"/>
              </w:rPr>
              <w:t>22,017</w:t>
            </w:r>
          </w:p>
        </w:tc>
        <w:tc>
          <w:tcPr>
            <w:tcW w:w="0" w:type="dxa"/>
            <w:vAlign w:val="bottom"/>
          </w:tcPr>
          <w:p>
            <w:pPr>
              <w:spacing w:after="0"/>
              <w:rPr>
                <w:sz w:val="1"/>
                <w:szCs w:val="1"/>
                <w:color w:val="auto"/>
              </w:rPr>
            </w:pPr>
          </w:p>
        </w:tc>
      </w:tr>
      <w:tr>
        <w:trPr>
          <w:trHeight w:val="137"/>
        </w:trPr>
        <w:tc>
          <w:tcPr>
            <w:tcW w:w="2100" w:type="dxa"/>
            <w:vAlign w:val="bottom"/>
          </w:tcPr>
          <w:p>
            <w:pPr>
              <w:spacing w:after="0" w:line="137" w:lineRule="exact"/>
              <w:rPr>
                <w:sz w:val="20"/>
                <w:szCs w:val="20"/>
                <w:color w:val="auto"/>
              </w:rPr>
            </w:pPr>
            <w:r>
              <w:rPr>
                <w:rFonts w:ascii="Arial" w:cs="Arial" w:eastAsia="Arial" w:hAnsi="Arial"/>
                <w:sz w:val="12"/>
                <w:szCs w:val="12"/>
                <w:color w:val="auto"/>
              </w:rPr>
              <w:t>Medical Products Group</w:t>
            </w:r>
          </w:p>
        </w:tc>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40" w:type="dxa"/>
            <w:vAlign w:val="bottom"/>
          </w:tcPr>
          <w:p>
            <w:pPr>
              <w:jc w:val="right"/>
              <w:ind w:right="158"/>
              <w:spacing w:after="0" w:line="137" w:lineRule="exact"/>
              <w:rPr>
                <w:sz w:val="20"/>
                <w:szCs w:val="20"/>
                <w:color w:val="auto"/>
              </w:rPr>
            </w:pPr>
            <w:r>
              <w:rPr>
                <w:rFonts w:ascii="Arial" w:cs="Arial" w:eastAsia="Arial" w:hAnsi="Arial"/>
                <w:sz w:val="12"/>
                <w:szCs w:val="12"/>
                <w:color w:val="auto"/>
              </w:rPr>
              <w:t>26,571(3)</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100" w:type="dxa"/>
            <w:vAlign w:val="bottom"/>
          </w:tcPr>
          <w:p>
            <w:pPr>
              <w:spacing w:after="0" w:line="137" w:lineRule="exact"/>
              <w:rPr>
                <w:sz w:val="20"/>
                <w:szCs w:val="20"/>
                <w:color w:val="auto"/>
              </w:rPr>
            </w:pPr>
            <w:r>
              <w:rPr>
                <w:rFonts w:ascii="Arial" w:cs="Arial" w:eastAsia="Arial" w:hAnsi="Arial"/>
                <w:sz w:val="12"/>
                <w:szCs w:val="12"/>
                <w:color w:val="auto"/>
              </w:rPr>
              <w:t>and Director</w:t>
            </w:r>
          </w:p>
        </w:tc>
        <w:tc>
          <w:tcPr>
            <w:tcW w:w="1220" w:type="dxa"/>
            <w:vAlign w:val="bottom"/>
          </w:tcPr>
          <w:p>
            <w:pPr>
              <w:ind w:left="520"/>
              <w:spacing w:after="0" w:line="137" w:lineRule="exact"/>
              <w:rPr>
                <w:sz w:val="20"/>
                <w:szCs w:val="20"/>
                <w:color w:val="auto"/>
              </w:rPr>
            </w:pPr>
            <w:r>
              <w:rPr>
                <w:rFonts w:ascii="Arial" w:cs="Arial" w:eastAsia="Arial" w:hAnsi="Arial"/>
                <w:sz w:val="12"/>
                <w:szCs w:val="12"/>
                <w:color w:val="auto"/>
              </w:rPr>
              <w:t>1999</w:t>
            </w:r>
          </w:p>
        </w:tc>
        <w:tc>
          <w:tcPr>
            <w:tcW w:w="1060" w:type="dxa"/>
            <w:vAlign w:val="bottom"/>
          </w:tcPr>
          <w:p>
            <w:pPr>
              <w:jc w:val="right"/>
              <w:ind w:right="218"/>
              <w:spacing w:after="0" w:line="137" w:lineRule="exact"/>
              <w:rPr>
                <w:sz w:val="20"/>
                <w:szCs w:val="20"/>
                <w:color w:val="auto"/>
              </w:rPr>
            </w:pPr>
            <w:r>
              <w:rPr>
                <w:rFonts w:ascii="Arial" w:cs="Arial" w:eastAsia="Arial" w:hAnsi="Arial"/>
                <w:sz w:val="12"/>
                <w:szCs w:val="12"/>
                <w:color w:val="auto"/>
              </w:rPr>
              <w:t>366,346</w:t>
            </w:r>
          </w:p>
        </w:tc>
        <w:tc>
          <w:tcPr>
            <w:tcW w:w="168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315,000</w:t>
            </w: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auto"/>
                <w:w w:val="92"/>
              </w:rPr>
              <w:t>20,026</w:t>
            </w:r>
          </w:p>
        </w:tc>
        <w:tc>
          <w:tcPr>
            <w:tcW w:w="1920" w:type="dxa"/>
            <w:vAlign w:val="bottom"/>
            <w:gridSpan w:val="2"/>
          </w:tcPr>
          <w:p>
            <w:pPr>
              <w:jc w:val="right"/>
              <w:ind w:right="538"/>
              <w:spacing w:after="0" w:line="137" w:lineRule="exact"/>
              <w:rPr>
                <w:sz w:val="20"/>
                <w:szCs w:val="20"/>
                <w:color w:val="auto"/>
              </w:rPr>
            </w:pPr>
            <w:r>
              <w:rPr>
                <w:rFonts w:ascii="Arial" w:cs="Arial" w:eastAsia="Arial" w:hAnsi="Arial"/>
                <w:sz w:val="12"/>
                <w:szCs w:val="12"/>
                <w:color w:val="auto"/>
              </w:rPr>
              <w:t>0</w:t>
            </w:r>
          </w:p>
        </w:tc>
        <w:tc>
          <w:tcPr>
            <w:tcW w:w="1240" w:type="dxa"/>
            <w:vAlign w:val="bottom"/>
          </w:tcPr>
          <w:p>
            <w:pPr>
              <w:jc w:val="right"/>
              <w:ind w:right="298"/>
              <w:spacing w:after="0" w:line="137" w:lineRule="exact"/>
              <w:rPr>
                <w:sz w:val="20"/>
                <w:szCs w:val="20"/>
                <w:color w:val="auto"/>
              </w:rPr>
            </w:pPr>
            <w:r>
              <w:rPr>
                <w:rFonts w:ascii="Arial" w:cs="Arial" w:eastAsia="Arial" w:hAnsi="Arial"/>
                <w:sz w:val="12"/>
                <w:szCs w:val="12"/>
                <w:color w:val="auto"/>
              </w:rPr>
              <w:t>70,000</w:t>
            </w:r>
          </w:p>
        </w:tc>
        <w:tc>
          <w:tcPr>
            <w:tcW w:w="1140" w:type="dxa"/>
            <w:vAlign w:val="bottom"/>
          </w:tcPr>
          <w:p>
            <w:pPr>
              <w:jc w:val="right"/>
              <w:ind w:right="138"/>
              <w:spacing w:after="0" w:line="137" w:lineRule="exact"/>
              <w:rPr>
                <w:sz w:val="20"/>
                <w:szCs w:val="20"/>
                <w:color w:val="auto"/>
              </w:rPr>
            </w:pPr>
            <w:r>
              <w:rPr>
                <w:rFonts w:ascii="Arial" w:cs="Arial" w:eastAsia="Arial" w:hAnsi="Arial"/>
                <w:sz w:val="12"/>
                <w:szCs w:val="12"/>
                <w:color w:val="auto"/>
              </w:rPr>
              <w:t>17,043</w:t>
            </w:r>
          </w:p>
        </w:tc>
        <w:tc>
          <w:tcPr>
            <w:tcW w:w="0" w:type="dxa"/>
            <w:vAlign w:val="bottom"/>
          </w:tcPr>
          <w:p>
            <w:pPr>
              <w:spacing w:after="0"/>
              <w:rPr>
                <w:sz w:val="1"/>
                <w:szCs w:val="1"/>
                <w:color w:val="auto"/>
              </w:rPr>
            </w:pPr>
          </w:p>
        </w:tc>
      </w:tr>
      <w:tr>
        <w:trPr>
          <w:trHeight w:val="157"/>
        </w:trPr>
        <w:tc>
          <w:tcPr>
            <w:tcW w:w="2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jc w:val="right"/>
              <w:ind w:right="158"/>
              <w:spacing w:after="0"/>
              <w:rPr>
                <w:sz w:val="20"/>
                <w:szCs w:val="20"/>
                <w:color w:val="auto"/>
              </w:rPr>
            </w:pPr>
            <w:r>
              <w:rPr>
                <w:rFonts w:ascii="Arial" w:cs="Arial" w:eastAsia="Arial" w:hAnsi="Arial"/>
                <w:sz w:val="12"/>
                <w:szCs w:val="12"/>
                <w:color w:val="auto"/>
              </w:rPr>
              <w:t>10,012(3)</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1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gridSpan w:val="2"/>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100" w:type="dxa"/>
            <w:vAlign w:val="bottom"/>
          </w:tcPr>
          <w:p>
            <w:pPr>
              <w:spacing w:after="0"/>
              <w:rPr>
                <w:sz w:val="20"/>
                <w:szCs w:val="20"/>
                <w:color w:val="auto"/>
              </w:rPr>
            </w:pPr>
            <w:r>
              <w:rPr>
                <w:rFonts w:ascii="Arial" w:cs="Arial" w:eastAsia="Arial" w:hAnsi="Arial"/>
                <w:sz w:val="12"/>
                <w:szCs w:val="12"/>
                <w:color w:val="auto"/>
              </w:rPr>
              <w:t>Jeffrey M. Leiden, M.D., Ph.D.</w:t>
            </w:r>
          </w:p>
        </w:tc>
        <w:tc>
          <w:tcPr>
            <w:tcW w:w="1220" w:type="dxa"/>
            <w:vAlign w:val="bottom"/>
          </w:tcPr>
          <w:p>
            <w:pPr>
              <w:ind w:left="520"/>
              <w:spacing w:after="0"/>
              <w:rPr>
                <w:sz w:val="20"/>
                <w:szCs w:val="20"/>
                <w:color w:val="auto"/>
              </w:rPr>
            </w:pPr>
            <w:r>
              <w:rPr>
                <w:rFonts w:ascii="Arial" w:cs="Arial" w:eastAsia="Arial" w:hAnsi="Arial"/>
                <w:sz w:val="12"/>
                <w:szCs w:val="12"/>
                <w:color w:val="auto"/>
              </w:rPr>
              <w:t>2001</w:t>
            </w:r>
          </w:p>
        </w:tc>
        <w:tc>
          <w:tcPr>
            <w:tcW w:w="1060" w:type="dxa"/>
            <w:vAlign w:val="bottom"/>
          </w:tcPr>
          <w:p>
            <w:pPr>
              <w:jc w:val="right"/>
              <w:ind w:right="218"/>
              <w:spacing w:after="0"/>
              <w:rPr>
                <w:sz w:val="20"/>
                <w:szCs w:val="20"/>
                <w:color w:val="auto"/>
              </w:rPr>
            </w:pPr>
            <w:r>
              <w:rPr>
                <w:rFonts w:ascii="Arial" w:cs="Arial" w:eastAsia="Arial" w:hAnsi="Arial"/>
                <w:sz w:val="12"/>
                <w:szCs w:val="12"/>
                <w:color w:val="auto"/>
              </w:rPr>
              <w:t>619,569</w:t>
            </w:r>
          </w:p>
        </w:tc>
        <w:tc>
          <w:tcPr>
            <w:tcW w:w="1680" w:type="dxa"/>
            <w:vAlign w:val="bottom"/>
          </w:tcPr>
          <w:p>
            <w:pPr>
              <w:jc w:val="right"/>
              <w:ind w:right="518"/>
              <w:spacing w:after="0"/>
              <w:rPr>
                <w:sz w:val="20"/>
                <w:szCs w:val="20"/>
                <w:color w:val="auto"/>
              </w:rPr>
            </w:pPr>
            <w:r>
              <w:rPr>
                <w:rFonts w:ascii="Arial" w:cs="Arial" w:eastAsia="Arial" w:hAnsi="Arial"/>
                <w:sz w:val="12"/>
                <w:szCs w:val="12"/>
                <w:color w:val="auto"/>
              </w:rPr>
              <w:t>700,000</w:t>
            </w:r>
          </w:p>
        </w:tc>
        <w:tc>
          <w:tcPr>
            <w:tcW w:w="1060" w:type="dxa"/>
            <w:vAlign w:val="bottom"/>
          </w:tcPr>
          <w:p>
            <w:pPr>
              <w:jc w:val="center"/>
              <w:spacing w:after="0"/>
              <w:rPr>
                <w:sz w:val="20"/>
                <w:szCs w:val="20"/>
                <w:color w:val="auto"/>
              </w:rPr>
            </w:pPr>
            <w:r>
              <w:rPr>
                <w:rFonts w:ascii="Arial" w:cs="Arial" w:eastAsia="Arial" w:hAnsi="Arial"/>
                <w:sz w:val="12"/>
                <w:szCs w:val="12"/>
                <w:color w:val="auto"/>
                <w:w w:val="92"/>
              </w:rPr>
              <w:t>17,837</w:t>
            </w:r>
          </w:p>
        </w:tc>
        <w:tc>
          <w:tcPr>
            <w:tcW w:w="1920" w:type="dxa"/>
            <w:vAlign w:val="bottom"/>
            <w:gridSpan w:val="2"/>
          </w:tcPr>
          <w:p>
            <w:pPr>
              <w:jc w:val="right"/>
              <w:ind w:right="538"/>
              <w:spacing w:after="0"/>
              <w:rPr>
                <w:sz w:val="20"/>
                <w:szCs w:val="20"/>
                <w:color w:val="auto"/>
              </w:rPr>
            </w:pPr>
            <w:r>
              <w:rPr>
                <w:rFonts w:ascii="Arial" w:cs="Arial" w:eastAsia="Arial" w:hAnsi="Arial"/>
                <w:sz w:val="12"/>
                <w:szCs w:val="12"/>
                <w:color w:val="auto"/>
              </w:rPr>
              <w:t>0</w:t>
            </w:r>
          </w:p>
        </w:tc>
        <w:tc>
          <w:tcPr>
            <w:tcW w:w="1240" w:type="dxa"/>
            <w:vAlign w:val="bottom"/>
          </w:tcPr>
          <w:p>
            <w:pPr>
              <w:jc w:val="right"/>
              <w:ind w:right="298"/>
              <w:spacing w:after="0"/>
              <w:rPr>
                <w:sz w:val="20"/>
                <w:szCs w:val="20"/>
                <w:color w:val="auto"/>
              </w:rPr>
            </w:pPr>
            <w:r>
              <w:rPr>
                <w:rFonts w:ascii="Arial" w:cs="Arial" w:eastAsia="Arial" w:hAnsi="Arial"/>
                <w:sz w:val="12"/>
                <w:szCs w:val="12"/>
                <w:color w:val="auto"/>
              </w:rPr>
              <w:t>250,000</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7,200</w:t>
            </w:r>
          </w:p>
        </w:tc>
        <w:tc>
          <w:tcPr>
            <w:tcW w:w="0" w:type="dxa"/>
            <w:vAlign w:val="bottom"/>
          </w:tcPr>
          <w:p>
            <w:pPr>
              <w:spacing w:after="0"/>
              <w:rPr>
                <w:sz w:val="1"/>
                <w:szCs w:val="1"/>
                <w:color w:val="auto"/>
              </w:rPr>
            </w:pPr>
          </w:p>
        </w:tc>
      </w:tr>
      <w:tr>
        <w:trPr>
          <w:trHeight w:val="137"/>
        </w:trPr>
        <w:tc>
          <w:tcPr>
            <w:tcW w:w="2100" w:type="dxa"/>
            <w:vAlign w:val="bottom"/>
          </w:tcPr>
          <w:p>
            <w:pPr>
              <w:spacing w:after="0" w:line="137" w:lineRule="exact"/>
              <w:rPr>
                <w:sz w:val="20"/>
                <w:szCs w:val="20"/>
                <w:color w:val="auto"/>
              </w:rPr>
            </w:pPr>
            <w:r>
              <w:rPr>
                <w:rFonts w:ascii="Arial" w:cs="Arial" w:eastAsia="Arial" w:hAnsi="Arial"/>
                <w:sz w:val="12"/>
                <w:szCs w:val="12"/>
                <w:color w:val="auto"/>
              </w:rPr>
              <w:t>President and Chief</w:t>
            </w:r>
          </w:p>
        </w:tc>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100" w:type="dxa"/>
            <w:vAlign w:val="bottom"/>
          </w:tcPr>
          <w:p>
            <w:pPr>
              <w:spacing w:after="0" w:line="137" w:lineRule="exact"/>
              <w:rPr>
                <w:sz w:val="20"/>
                <w:szCs w:val="20"/>
                <w:color w:val="auto"/>
              </w:rPr>
            </w:pPr>
            <w:r>
              <w:rPr>
                <w:rFonts w:ascii="Arial" w:cs="Arial" w:eastAsia="Arial" w:hAnsi="Arial"/>
                <w:sz w:val="12"/>
                <w:szCs w:val="12"/>
                <w:color w:val="auto"/>
              </w:rPr>
              <w:t>Operating Officer,</w:t>
            </w:r>
          </w:p>
        </w:tc>
        <w:tc>
          <w:tcPr>
            <w:tcW w:w="1220" w:type="dxa"/>
            <w:vAlign w:val="bottom"/>
          </w:tcPr>
          <w:p>
            <w:pPr>
              <w:ind w:left="520"/>
              <w:spacing w:after="0" w:line="137" w:lineRule="exact"/>
              <w:rPr>
                <w:sz w:val="20"/>
                <w:szCs w:val="20"/>
                <w:color w:val="auto"/>
              </w:rPr>
            </w:pPr>
            <w:r>
              <w:rPr>
                <w:rFonts w:ascii="Arial" w:cs="Arial" w:eastAsia="Arial" w:hAnsi="Arial"/>
                <w:sz w:val="12"/>
                <w:szCs w:val="12"/>
                <w:color w:val="auto"/>
              </w:rPr>
              <w:t>2000</w:t>
            </w:r>
          </w:p>
        </w:tc>
        <w:tc>
          <w:tcPr>
            <w:tcW w:w="1060" w:type="dxa"/>
            <w:vAlign w:val="bottom"/>
          </w:tcPr>
          <w:p>
            <w:pPr>
              <w:jc w:val="right"/>
              <w:ind w:right="218"/>
              <w:spacing w:after="0" w:line="137" w:lineRule="exact"/>
              <w:rPr>
                <w:sz w:val="20"/>
                <w:szCs w:val="20"/>
                <w:color w:val="auto"/>
              </w:rPr>
            </w:pPr>
            <w:r>
              <w:rPr>
                <w:rFonts w:ascii="Arial" w:cs="Arial" w:eastAsia="Arial" w:hAnsi="Arial"/>
                <w:sz w:val="12"/>
                <w:szCs w:val="12"/>
                <w:color w:val="auto"/>
              </w:rPr>
              <w:t>276,346</w:t>
            </w:r>
          </w:p>
        </w:tc>
        <w:tc>
          <w:tcPr>
            <w:tcW w:w="168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555,000</w:t>
            </w: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auto"/>
                <w:w w:val="92"/>
              </w:rPr>
              <w:t>114,340(5)</w:t>
            </w:r>
          </w:p>
        </w:tc>
        <w:tc>
          <w:tcPr>
            <w:tcW w:w="1920" w:type="dxa"/>
            <w:vAlign w:val="bottom"/>
            <w:gridSpan w:val="2"/>
          </w:tcPr>
          <w:p>
            <w:pPr>
              <w:jc w:val="right"/>
              <w:ind w:right="498"/>
              <w:spacing w:after="0" w:line="137" w:lineRule="exact"/>
              <w:rPr>
                <w:sz w:val="20"/>
                <w:szCs w:val="20"/>
                <w:color w:val="auto"/>
              </w:rPr>
            </w:pPr>
            <w:r>
              <w:rPr>
                <w:rFonts w:ascii="Arial" w:cs="Arial" w:eastAsia="Arial" w:hAnsi="Arial"/>
                <w:sz w:val="12"/>
                <w:szCs w:val="12"/>
                <w:color w:val="auto"/>
              </w:rPr>
              <w:t>3,182,813</w:t>
            </w:r>
          </w:p>
        </w:tc>
        <w:tc>
          <w:tcPr>
            <w:tcW w:w="1240" w:type="dxa"/>
            <w:vAlign w:val="bottom"/>
          </w:tcPr>
          <w:p>
            <w:pPr>
              <w:jc w:val="right"/>
              <w:ind w:right="298"/>
              <w:spacing w:after="0" w:line="137" w:lineRule="exact"/>
              <w:rPr>
                <w:sz w:val="20"/>
                <w:szCs w:val="20"/>
                <w:color w:val="auto"/>
              </w:rPr>
            </w:pPr>
            <w:r>
              <w:rPr>
                <w:rFonts w:ascii="Arial" w:cs="Arial" w:eastAsia="Arial" w:hAnsi="Arial"/>
                <w:sz w:val="12"/>
                <w:szCs w:val="12"/>
                <w:color w:val="auto"/>
              </w:rPr>
              <w:t>150,000</w:t>
            </w:r>
          </w:p>
        </w:tc>
        <w:tc>
          <w:tcPr>
            <w:tcW w:w="1140" w:type="dxa"/>
            <w:vAlign w:val="bottom"/>
          </w:tcPr>
          <w:p>
            <w:pPr>
              <w:jc w:val="right"/>
              <w:ind w:right="138"/>
              <w:spacing w:after="0" w:line="137"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7"/>
        </w:trPr>
        <w:tc>
          <w:tcPr>
            <w:tcW w:w="2100" w:type="dxa"/>
            <w:vAlign w:val="bottom"/>
          </w:tcPr>
          <w:p>
            <w:pPr>
              <w:spacing w:after="0" w:line="137" w:lineRule="exact"/>
              <w:rPr>
                <w:sz w:val="20"/>
                <w:szCs w:val="20"/>
                <w:color w:val="auto"/>
              </w:rPr>
            </w:pPr>
            <w:r>
              <w:rPr>
                <w:rFonts w:ascii="Arial" w:cs="Arial" w:eastAsia="Arial" w:hAnsi="Arial"/>
                <w:sz w:val="12"/>
                <w:szCs w:val="12"/>
                <w:color w:val="auto"/>
              </w:rPr>
              <w:t>Pharmaceutical Products</w:t>
            </w:r>
          </w:p>
        </w:tc>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20"/>
                <w:szCs w:val="20"/>
                <w:color w:val="auto"/>
              </w:rPr>
            </w:pPr>
            <w:r>
              <w:rPr>
                <w:rFonts w:ascii="Arial" w:cs="Arial" w:eastAsia="Arial" w:hAnsi="Arial"/>
                <w:sz w:val="12"/>
                <w:szCs w:val="12"/>
                <w:color w:val="auto"/>
              </w:rPr>
              <w:t>Group and Director(4)</w:t>
            </w: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1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gridSpan w:val="2"/>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100" w:type="dxa"/>
            <w:vAlign w:val="bottom"/>
          </w:tcPr>
          <w:p>
            <w:pPr>
              <w:spacing w:after="0"/>
              <w:rPr>
                <w:sz w:val="20"/>
                <w:szCs w:val="20"/>
                <w:color w:val="auto"/>
              </w:rPr>
            </w:pPr>
            <w:r>
              <w:rPr>
                <w:rFonts w:ascii="Arial" w:cs="Arial" w:eastAsia="Arial" w:hAnsi="Arial"/>
                <w:sz w:val="12"/>
                <w:szCs w:val="12"/>
                <w:color w:val="auto"/>
              </w:rPr>
              <w:t>Christopher B. Begley</w:t>
            </w:r>
          </w:p>
        </w:tc>
        <w:tc>
          <w:tcPr>
            <w:tcW w:w="1220" w:type="dxa"/>
            <w:vAlign w:val="bottom"/>
          </w:tcPr>
          <w:p>
            <w:pPr>
              <w:ind w:left="520"/>
              <w:spacing w:after="0"/>
              <w:rPr>
                <w:sz w:val="20"/>
                <w:szCs w:val="20"/>
                <w:color w:val="auto"/>
              </w:rPr>
            </w:pPr>
            <w:r>
              <w:rPr>
                <w:rFonts w:ascii="Arial" w:cs="Arial" w:eastAsia="Arial" w:hAnsi="Arial"/>
                <w:sz w:val="12"/>
                <w:szCs w:val="12"/>
                <w:color w:val="auto"/>
              </w:rPr>
              <w:t>2001</w:t>
            </w:r>
          </w:p>
        </w:tc>
        <w:tc>
          <w:tcPr>
            <w:tcW w:w="1060" w:type="dxa"/>
            <w:vAlign w:val="bottom"/>
          </w:tcPr>
          <w:p>
            <w:pPr>
              <w:jc w:val="right"/>
              <w:ind w:right="218"/>
              <w:spacing w:after="0"/>
              <w:rPr>
                <w:sz w:val="20"/>
                <w:szCs w:val="20"/>
                <w:color w:val="auto"/>
              </w:rPr>
            </w:pPr>
            <w:r>
              <w:rPr>
                <w:rFonts w:ascii="Arial" w:cs="Arial" w:eastAsia="Arial" w:hAnsi="Arial"/>
                <w:sz w:val="12"/>
                <w:szCs w:val="12"/>
                <w:color w:val="auto"/>
              </w:rPr>
              <w:t>430,384</w:t>
            </w:r>
          </w:p>
        </w:tc>
        <w:tc>
          <w:tcPr>
            <w:tcW w:w="1680" w:type="dxa"/>
            <w:vAlign w:val="bottom"/>
          </w:tcPr>
          <w:p>
            <w:pPr>
              <w:jc w:val="right"/>
              <w:ind w:right="518"/>
              <w:spacing w:after="0"/>
              <w:rPr>
                <w:sz w:val="20"/>
                <w:szCs w:val="20"/>
                <w:color w:val="auto"/>
              </w:rPr>
            </w:pPr>
            <w:r>
              <w:rPr>
                <w:rFonts w:ascii="Arial" w:cs="Arial" w:eastAsia="Arial" w:hAnsi="Arial"/>
                <w:sz w:val="12"/>
                <w:szCs w:val="12"/>
                <w:color w:val="auto"/>
              </w:rPr>
              <w:t>425,000</w:t>
            </w:r>
          </w:p>
        </w:tc>
        <w:tc>
          <w:tcPr>
            <w:tcW w:w="1060" w:type="dxa"/>
            <w:vAlign w:val="bottom"/>
          </w:tcPr>
          <w:p>
            <w:pPr>
              <w:jc w:val="center"/>
              <w:spacing w:after="0"/>
              <w:rPr>
                <w:sz w:val="20"/>
                <w:szCs w:val="20"/>
                <w:color w:val="auto"/>
              </w:rPr>
            </w:pPr>
            <w:r>
              <w:rPr>
                <w:rFonts w:ascii="Arial" w:cs="Arial" w:eastAsia="Arial" w:hAnsi="Arial"/>
                <w:sz w:val="12"/>
                <w:szCs w:val="12"/>
                <w:color w:val="auto"/>
                <w:w w:val="92"/>
              </w:rPr>
              <w:t>108,171</w:t>
            </w:r>
          </w:p>
        </w:tc>
        <w:tc>
          <w:tcPr>
            <w:tcW w:w="1920" w:type="dxa"/>
            <w:vAlign w:val="bottom"/>
            <w:gridSpan w:val="2"/>
          </w:tcPr>
          <w:p>
            <w:pPr>
              <w:jc w:val="right"/>
              <w:ind w:right="538"/>
              <w:spacing w:after="0"/>
              <w:rPr>
                <w:sz w:val="20"/>
                <w:szCs w:val="20"/>
                <w:color w:val="auto"/>
              </w:rPr>
            </w:pPr>
            <w:r>
              <w:rPr>
                <w:rFonts w:ascii="Arial" w:cs="Arial" w:eastAsia="Arial" w:hAnsi="Arial"/>
                <w:sz w:val="12"/>
                <w:szCs w:val="12"/>
                <w:color w:val="auto"/>
              </w:rPr>
              <w:t>0</w:t>
            </w:r>
          </w:p>
        </w:tc>
        <w:tc>
          <w:tcPr>
            <w:tcW w:w="1240" w:type="dxa"/>
            <w:vAlign w:val="bottom"/>
          </w:tcPr>
          <w:p>
            <w:pPr>
              <w:jc w:val="right"/>
              <w:ind w:right="298"/>
              <w:spacing w:after="0"/>
              <w:rPr>
                <w:sz w:val="20"/>
                <w:szCs w:val="20"/>
                <w:color w:val="auto"/>
              </w:rPr>
            </w:pPr>
            <w:r>
              <w:rPr>
                <w:rFonts w:ascii="Arial" w:cs="Arial" w:eastAsia="Arial" w:hAnsi="Arial"/>
                <w:sz w:val="12"/>
                <w:szCs w:val="12"/>
                <w:color w:val="auto"/>
              </w:rPr>
              <w:t>100,000</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20,373</w:t>
            </w:r>
          </w:p>
        </w:tc>
        <w:tc>
          <w:tcPr>
            <w:tcW w:w="0" w:type="dxa"/>
            <w:vAlign w:val="bottom"/>
          </w:tcPr>
          <w:p>
            <w:pPr>
              <w:spacing w:after="0"/>
              <w:rPr>
                <w:sz w:val="1"/>
                <w:szCs w:val="1"/>
                <w:color w:val="auto"/>
              </w:rPr>
            </w:pPr>
          </w:p>
        </w:tc>
      </w:tr>
      <w:tr>
        <w:trPr>
          <w:trHeight w:val="137"/>
        </w:trPr>
        <w:tc>
          <w:tcPr>
            <w:tcW w:w="2100" w:type="dxa"/>
            <w:vAlign w:val="bottom"/>
          </w:tcPr>
          <w:p>
            <w:pPr>
              <w:spacing w:after="0" w:line="137" w:lineRule="exact"/>
              <w:rPr>
                <w:sz w:val="20"/>
                <w:szCs w:val="20"/>
                <w:color w:val="auto"/>
              </w:rPr>
            </w:pPr>
            <w:r>
              <w:rPr>
                <w:rFonts w:ascii="Arial" w:cs="Arial" w:eastAsia="Arial" w:hAnsi="Arial"/>
                <w:sz w:val="12"/>
                <w:szCs w:val="12"/>
                <w:color w:val="auto"/>
              </w:rPr>
              <w:t>Senior Vice President,</w:t>
            </w:r>
          </w:p>
        </w:tc>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40" w:type="dxa"/>
            <w:vAlign w:val="bottom"/>
          </w:tcPr>
          <w:p>
            <w:pPr>
              <w:jc w:val="right"/>
              <w:ind w:right="138"/>
              <w:spacing w:after="0" w:line="137" w:lineRule="exact"/>
              <w:rPr>
                <w:sz w:val="20"/>
                <w:szCs w:val="20"/>
                <w:color w:val="auto"/>
              </w:rPr>
            </w:pPr>
            <w:r>
              <w:rPr>
                <w:rFonts w:ascii="Arial" w:cs="Arial" w:eastAsia="Arial" w:hAnsi="Arial"/>
                <w:sz w:val="12"/>
                <w:szCs w:val="12"/>
                <w:color w:val="auto"/>
              </w:rPr>
              <w:t>58,905(3)</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100" w:type="dxa"/>
            <w:vAlign w:val="bottom"/>
          </w:tcPr>
          <w:p>
            <w:pPr>
              <w:spacing w:after="0" w:line="137" w:lineRule="exact"/>
              <w:rPr>
                <w:sz w:val="20"/>
                <w:szCs w:val="20"/>
                <w:color w:val="auto"/>
              </w:rPr>
            </w:pPr>
            <w:r>
              <w:rPr>
                <w:rFonts w:ascii="Arial" w:cs="Arial" w:eastAsia="Arial" w:hAnsi="Arial"/>
                <w:sz w:val="12"/>
                <w:szCs w:val="12"/>
                <w:color w:val="auto"/>
              </w:rPr>
              <w:t>Hospital Products</w:t>
            </w:r>
          </w:p>
        </w:tc>
        <w:tc>
          <w:tcPr>
            <w:tcW w:w="1220" w:type="dxa"/>
            <w:vAlign w:val="bottom"/>
          </w:tcPr>
          <w:p>
            <w:pPr>
              <w:ind w:left="520"/>
              <w:spacing w:after="0" w:line="137" w:lineRule="exact"/>
              <w:rPr>
                <w:sz w:val="20"/>
                <w:szCs w:val="20"/>
                <w:color w:val="auto"/>
              </w:rPr>
            </w:pPr>
            <w:r>
              <w:rPr>
                <w:rFonts w:ascii="Arial" w:cs="Arial" w:eastAsia="Arial" w:hAnsi="Arial"/>
                <w:sz w:val="12"/>
                <w:szCs w:val="12"/>
                <w:color w:val="auto"/>
              </w:rPr>
              <w:t>2000</w:t>
            </w:r>
          </w:p>
        </w:tc>
        <w:tc>
          <w:tcPr>
            <w:tcW w:w="1060" w:type="dxa"/>
            <w:vAlign w:val="bottom"/>
          </w:tcPr>
          <w:p>
            <w:pPr>
              <w:jc w:val="right"/>
              <w:ind w:right="218"/>
              <w:spacing w:after="0" w:line="137" w:lineRule="exact"/>
              <w:rPr>
                <w:sz w:val="20"/>
                <w:szCs w:val="20"/>
                <w:color w:val="auto"/>
              </w:rPr>
            </w:pPr>
            <w:r>
              <w:rPr>
                <w:rFonts w:ascii="Arial" w:cs="Arial" w:eastAsia="Arial" w:hAnsi="Arial"/>
                <w:sz w:val="12"/>
                <w:szCs w:val="12"/>
                <w:color w:val="auto"/>
              </w:rPr>
              <w:t>356,354</w:t>
            </w:r>
          </w:p>
        </w:tc>
        <w:tc>
          <w:tcPr>
            <w:tcW w:w="168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353,000</w:t>
            </w: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auto"/>
                <w:w w:val="92"/>
              </w:rPr>
              <w:t>70,630</w:t>
            </w:r>
          </w:p>
        </w:tc>
        <w:tc>
          <w:tcPr>
            <w:tcW w:w="1920" w:type="dxa"/>
            <w:vAlign w:val="bottom"/>
            <w:gridSpan w:val="2"/>
          </w:tcPr>
          <w:p>
            <w:pPr>
              <w:jc w:val="right"/>
              <w:ind w:right="538"/>
              <w:spacing w:after="0" w:line="137" w:lineRule="exact"/>
              <w:rPr>
                <w:sz w:val="20"/>
                <w:szCs w:val="20"/>
                <w:color w:val="auto"/>
              </w:rPr>
            </w:pPr>
            <w:r>
              <w:rPr>
                <w:rFonts w:ascii="Arial" w:cs="Arial" w:eastAsia="Arial" w:hAnsi="Arial"/>
                <w:sz w:val="12"/>
                <w:szCs w:val="12"/>
                <w:color w:val="auto"/>
              </w:rPr>
              <w:t>0</w:t>
            </w:r>
          </w:p>
        </w:tc>
        <w:tc>
          <w:tcPr>
            <w:tcW w:w="1240" w:type="dxa"/>
            <w:vAlign w:val="bottom"/>
          </w:tcPr>
          <w:p>
            <w:pPr>
              <w:jc w:val="right"/>
              <w:ind w:right="298"/>
              <w:spacing w:after="0" w:line="137" w:lineRule="exact"/>
              <w:rPr>
                <w:sz w:val="20"/>
                <w:szCs w:val="20"/>
                <w:color w:val="auto"/>
              </w:rPr>
            </w:pPr>
            <w:r>
              <w:rPr>
                <w:rFonts w:ascii="Arial" w:cs="Arial" w:eastAsia="Arial" w:hAnsi="Arial"/>
                <w:sz w:val="12"/>
                <w:szCs w:val="12"/>
                <w:color w:val="auto"/>
              </w:rPr>
              <w:t>90,000</w:t>
            </w:r>
          </w:p>
        </w:tc>
        <w:tc>
          <w:tcPr>
            <w:tcW w:w="1140" w:type="dxa"/>
            <w:vAlign w:val="bottom"/>
          </w:tcPr>
          <w:p>
            <w:pPr>
              <w:jc w:val="right"/>
              <w:ind w:right="138"/>
              <w:spacing w:after="0" w:line="137" w:lineRule="exact"/>
              <w:rPr>
                <w:sz w:val="20"/>
                <w:szCs w:val="20"/>
                <w:color w:val="auto"/>
              </w:rPr>
            </w:pPr>
            <w:r>
              <w:rPr>
                <w:rFonts w:ascii="Arial" w:cs="Arial" w:eastAsia="Arial" w:hAnsi="Arial"/>
                <w:sz w:val="12"/>
                <w:szCs w:val="12"/>
                <w:color w:val="auto"/>
              </w:rPr>
              <w:t>16,290</w:t>
            </w:r>
          </w:p>
        </w:tc>
        <w:tc>
          <w:tcPr>
            <w:tcW w:w="0" w:type="dxa"/>
            <w:vAlign w:val="bottom"/>
          </w:tcPr>
          <w:p>
            <w:pPr>
              <w:spacing w:after="0"/>
              <w:rPr>
                <w:sz w:val="1"/>
                <w:szCs w:val="1"/>
                <w:color w:val="auto"/>
              </w:rPr>
            </w:pPr>
          </w:p>
        </w:tc>
      </w:tr>
      <w:tr>
        <w:trPr>
          <w:trHeight w:val="137"/>
        </w:trPr>
        <w:tc>
          <w:tcPr>
            <w:tcW w:w="2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40" w:type="dxa"/>
            <w:vAlign w:val="bottom"/>
          </w:tcPr>
          <w:p>
            <w:pPr>
              <w:jc w:val="right"/>
              <w:ind w:right="158"/>
              <w:spacing w:after="0" w:line="137" w:lineRule="exact"/>
              <w:rPr>
                <w:sz w:val="20"/>
                <w:szCs w:val="20"/>
                <w:color w:val="auto"/>
              </w:rPr>
            </w:pPr>
            <w:r>
              <w:rPr>
                <w:rFonts w:ascii="Arial" w:cs="Arial" w:eastAsia="Arial" w:hAnsi="Arial"/>
                <w:sz w:val="12"/>
                <w:szCs w:val="12"/>
                <w:color w:val="auto"/>
              </w:rPr>
              <w:t>33,502(3)</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100" w:type="dxa"/>
            <w:vAlign w:val="bottom"/>
          </w:tcPr>
          <w:p>
            <w:pPr>
              <w:spacing w:after="0"/>
              <w:rPr>
                <w:sz w:val="11"/>
                <w:szCs w:val="11"/>
                <w:color w:val="auto"/>
              </w:rPr>
            </w:pPr>
          </w:p>
        </w:tc>
        <w:tc>
          <w:tcPr>
            <w:tcW w:w="1220" w:type="dxa"/>
            <w:vAlign w:val="bottom"/>
          </w:tcPr>
          <w:p>
            <w:pPr>
              <w:ind w:left="520"/>
              <w:spacing w:after="0" w:line="137" w:lineRule="exact"/>
              <w:rPr>
                <w:sz w:val="20"/>
                <w:szCs w:val="20"/>
                <w:color w:val="auto"/>
              </w:rPr>
            </w:pPr>
            <w:r>
              <w:rPr>
                <w:rFonts w:ascii="Arial" w:cs="Arial" w:eastAsia="Arial" w:hAnsi="Arial"/>
                <w:sz w:val="12"/>
                <w:szCs w:val="12"/>
                <w:color w:val="auto"/>
              </w:rPr>
              <w:t>1999</w:t>
            </w:r>
          </w:p>
        </w:tc>
        <w:tc>
          <w:tcPr>
            <w:tcW w:w="1060" w:type="dxa"/>
            <w:vAlign w:val="bottom"/>
          </w:tcPr>
          <w:p>
            <w:pPr>
              <w:jc w:val="right"/>
              <w:ind w:right="218"/>
              <w:spacing w:after="0" w:line="137" w:lineRule="exact"/>
              <w:rPr>
                <w:sz w:val="20"/>
                <w:szCs w:val="20"/>
                <w:color w:val="auto"/>
              </w:rPr>
            </w:pPr>
            <w:r>
              <w:rPr>
                <w:rFonts w:ascii="Arial" w:cs="Arial" w:eastAsia="Arial" w:hAnsi="Arial"/>
                <w:sz w:val="12"/>
                <w:szCs w:val="12"/>
                <w:color w:val="auto"/>
              </w:rPr>
              <w:t>296,154</w:t>
            </w:r>
          </w:p>
        </w:tc>
        <w:tc>
          <w:tcPr>
            <w:tcW w:w="168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222,700</w:t>
            </w: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auto"/>
                <w:w w:val="92"/>
              </w:rPr>
              <w:t>42,148</w:t>
            </w:r>
          </w:p>
        </w:tc>
        <w:tc>
          <w:tcPr>
            <w:tcW w:w="1920" w:type="dxa"/>
            <w:vAlign w:val="bottom"/>
            <w:gridSpan w:val="2"/>
          </w:tcPr>
          <w:p>
            <w:pPr>
              <w:jc w:val="right"/>
              <w:ind w:right="518"/>
              <w:spacing w:after="0" w:line="137" w:lineRule="exact"/>
              <w:rPr>
                <w:sz w:val="20"/>
                <w:szCs w:val="20"/>
                <w:color w:val="auto"/>
              </w:rPr>
            </w:pPr>
            <w:r>
              <w:rPr>
                <w:rFonts w:ascii="Arial" w:cs="Arial" w:eastAsia="Arial" w:hAnsi="Arial"/>
                <w:sz w:val="12"/>
                <w:szCs w:val="12"/>
                <w:color w:val="auto"/>
              </w:rPr>
              <w:t>759,960</w:t>
            </w:r>
          </w:p>
        </w:tc>
        <w:tc>
          <w:tcPr>
            <w:tcW w:w="1240" w:type="dxa"/>
            <w:vAlign w:val="bottom"/>
          </w:tcPr>
          <w:p>
            <w:pPr>
              <w:jc w:val="right"/>
              <w:ind w:right="298"/>
              <w:spacing w:after="0" w:line="137" w:lineRule="exact"/>
              <w:rPr>
                <w:sz w:val="20"/>
                <w:szCs w:val="20"/>
                <w:color w:val="auto"/>
              </w:rPr>
            </w:pPr>
            <w:r>
              <w:rPr>
                <w:rFonts w:ascii="Arial" w:cs="Arial" w:eastAsia="Arial" w:hAnsi="Arial"/>
                <w:sz w:val="12"/>
                <w:szCs w:val="12"/>
                <w:color w:val="auto"/>
              </w:rPr>
              <w:t>38,000</w:t>
            </w:r>
          </w:p>
        </w:tc>
        <w:tc>
          <w:tcPr>
            <w:tcW w:w="1140" w:type="dxa"/>
            <w:vAlign w:val="bottom"/>
          </w:tcPr>
          <w:p>
            <w:pPr>
              <w:jc w:val="right"/>
              <w:ind w:right="138"/>
              <w:spacing w:after="0" w:line="137" w:lineRule="exact"/>
              <w:rPr>
                <w:sz w:val="20"/>
                <w:szCs w:val="20"/>
                <w:color w:val="auto"/>
              </w:rPr>
            </w:pPr>
            <w:r>
              <w:rPr>
                <w:rFonts w:ascii="Arial" w:cs="Arial" w:eastAsia="Arial" w:hAnsi="Arial"/>
                <w:sz w:val="12"/>
                <w:szCs w:val="12"/>
                <w:color w:val="auto"/>
              </w:rPr>
              <w:t>12,410</w:t>
            </w:r>
          </w:p>
        </w:tc>
        <w:tc>
          <w:tcPr>
            <w:tcW w:w="0" w:type="dxa"/>
            <w:vAlign w:val="bottom"/>
          </w:tcPr>
          <w:p>
            <w:pPr>
              <w:spacing w:after="0"/>
              <w:rPr>
                <w:sz w:val="1"/>
                <w:szCs w:val="1"/>
                <w:color w:val="auto"/>
              </w:rPr>
            </w:pPr>
          </w:p>
        </w:tc>
      </w:tr>
      <w:tr>
        <w:trPr>
          <w:trHeight w:val="157"/>
        </w:trPr>
        <w:tc>
          <w:tcPr>
            <w:tcW w:w="2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jc w:val="right"/>
              <w:ind w:right="158"/>
              <w:spacing w:after="0"/>
              <w:rPr>
                <w:sz w:val="20"/>
                <w:szCs w:val="20"/>
                <w:color w:val="auto"/>
              </w:rPr>
            </w:pPr>
            <w:r>
              <w:rPr>
                <w:rFonts w:ascii="Arial" w:cs="Arial" w:eastAsia="Arial" w:hAnsi="Arial"/>
                <w:sz w:val="12"/>
                <w:szCs w:val="12"/>
                <w:color w:val="auto"/>
              </w:rPr>
              <w:t>93,301(3)</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1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gridSpan w:val="2"/>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100" w:type="dxa"/>
            <w:vAlign w:val="bottom"/>
          </w:tcPr>
          <w:p>
            <w:pPr>
              <w:spacing w:after="0"/>
              <w:rPr>
                <w:sz w:val="20"/>
                <w:szCs w:val="20"/>
                <w:color w:val="auto"/>
              </w:rPr>
            </w:pPr>
            <w:r>
              <w:rPr>
                <w:rFonts w:ascii="Arial" w:cs="Arial" w:eastAsia="Arial" w:hAnsi="Arial"/>
                <w:sz w:val="12"/>
                <w:szCs w:val="12"/>
                <w:color w:val="auto"/>
              </w:rPr>
              <w:t>William G. Dempsey</w:t>
            </w:r>
          </w:p>
        </w:tc>
        <w:tc>
          <w:tcPr>
            <w:tcW w:w="1220" w:type="dxa"/>
            <w:vAlign w:val="bottom"/>
          </w:tcPr>
          <w:p>
            <w:pPr>
              <w:ind w:left="520"/>
              <w:spacing w:after="0"/>
              <w:rPr>
                <w:sz w:val="20"/>
                <w:szCs w:val="20"/>
                <w:color w:val="auto"/>
              </w:rPr>
            </w:pPr>
            <w:r>
              <w:rPr>
                <w:rFonts w:ascii="Arial" w:cs="Arial" w:eastAsia="Arial" w:hAnsi="Arial"/>
                <w:sz w:val="12"/>
                <w:szCs w:val="12"/>
                <w:color w:val="auto"/>
              </w:rPr>
              <w:t>2001</w:t>
            </w:r>
          </w:p>
        </w:tc>
        <w:tc>
          <w:tcPr>
            <w:tcW w:w="1060" w:type="dxa"/>
            <w:vAlign w:val="bottom"/>
          </w:tcPr>
          <w:p>
            <w:pPr>
              <w:jc w:val="right"/>
              <w:ind w:right="218"/>
              <w:spacing w:after="0"/>
              <w:rPr>
                <w:sz w:val="20"/>
                <w:szCs w:val="20"/>
                <w:color w:val="auto"/>
              </w:rPr>
            </w:pPr>
            <w:r>
              <w:rPr>
                <w:rFonts w:ascii="Arial" w:cs="Arial" w:eastAsia="Arial" w:hAnsi="Arial"/>
                <w:sz w:val="12"/>
                <w:szCs w:val="12"/>
                <w:color w:val="auto"/>
              </w:rPr>
              <w:t>437,723</w:t>
            </w:r>
          </w:p>
        </w:tc>
        <w:tc>
          <w:tcPr>
            <w:tcW w:w="1680" w:type="dxa"/>
            <w:vAlign w:val="bottom"/>
          </w:tcPr>
          <w:p>
            <w:pPr>
              <w:jc w:val="right"/>
              <w:ind w:right="518"/>
              <w:spacing w:after="0"/>
              <w:rPr>
                <w:sz w:val="20"/>
                <w:szCs w:val="20"/>
                <w:color w:val="auto"/>
              </w:rPr>
            </w:pPr>
            <w:r>
              <w:rPr>
                <w:rFonts w:ascii="Arial" w:cs="Arial" w:eastAsia="Arial" w:hAnsi="Arial"/>
                <w:sz w:val="12"/>
                <w:szCs w:val="12"/>
                <w:color w:val="auto"/>
              </w:rPr>
              <w:t>525,000</w:t>
            </w:r>
          </w:p>
        </w:tc>
        <w:tc>
          <w:tcPr>
            <w:tcW w:w="1060" w:type="dxa"/>
            <w:vAlign w:val="bottom"/>
          </w:tcPr>
          <w:p>
            <w:pPr>
              <w:jc w:val="center"/>
              <w:spacing w:after="0"/>
              <w:rPr>
                <w:sz w:val="20"/>
                <w:szCs w:val="20"/>
                <w:color w:val="auto"/>
              </w:rPr>
            </w:pPr>
            <w:r>
              <w:rPr>
                <w:rFonts w:ascii="Arial" w:cs="Arial" w:eastAsia="Arial" w:hAnsi="Arial"/>
                <w:sz w:val="12"/>
                <w:szCs w:val="12"/>
                <w:color w:val="auto"/>
                <w:w w:val="92"/>
              </w:rPr>
              <w:t>69,359</w:t>
            </w:r>
          </w:p>
        </w:tc>
        <w:tc>
          <w:tcPr>
            <w:tcW w:w="1920" w:type="dxa"/>
            <w:vAlign w:val="bottom"/>
            <w:gridSpan w:val="2"/>
          </w:tcPr>
          <w:p>
            <w:pPr>
              <w:jc w:val="right"/>
              <w:ind w:right="538"/>
              <w:spacing w:after="0"/>
              <w:rPr>
                <w:sz w:val="20"/>
                <w:szCs w:val="20"/>
                <w:color w:val="auto"/>
              </w:rPr>
            </w:pPr>
            <w:r>
              <w:rPr>
                <w:rFonts w:ascii="Arial" w:cs="Arial" w:eastAsia="Arial" w:hAnsi="Arial"/>
                <w:sz w:val="12"/>
                <w:szCs w:val="12"/>
                <w:color w:val="auto"/>
              </w:rPr>
              <w:t>0</w:t>
            </w:r>
          </w:p>
        </w:tc>
        <w:tc>
          <w:tcPr>
            <w:tcW w:w="1240" w:type="dxa"/>
            <w:vAlign w:val="bottom"/>
          </w:tcPr>
          <w:p>
            <w:pPr>
              <w:jc w:val="right"/>
              <w:ind w:right="278"/>
              <w:spacing w:after="0"/>
              <w:rPr>
                <w:sz w:val="20"/>
                <w:szCs w:val="20"/>
                <w:color w:val="auto"/>
              </w:rPr>
            </w:pPr>
            <w:r>
              <w:rPr>
                <w:rFonts w:ascii="Arial" w:cs="Arial" w:eastAsia="Arial" w:hAnsi="Arial"/>
                <w:sz w:val="12"/>
                <w:szCs w:val="12"/>
                <w:color w:val="auto"/>
              </w:rPr>
              <w:t>100,000</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20,897</w:t>
            </w:r>
          </w:p>
        </w:tc>
        <w:tc>
          <w:tcPr>
            <w:tcW w:w="0" w:type="dxa"/>
            <w:vAlign w:val="bottom"/>
          </w:tcPr>
          <w:p>
            <w:pPr>
              <w:spacing w:after="0"/>
              <w:rPr>
                <w:sz w:val="1"/>
                <w:szCs w:val="1"/>
                <w:color w:val="auto"/>
              </w:rPr>
            </w:pPr>
          </w:p>
        </w:tc>
      </w:tr>
      <w:tr>
        <w:trPr>
          <w:trHeight w:val="137"/>
        </w:trPr>
        <w:tc>
          <w:tcPr>
            <w:tcW w:w="2100" w:type="dxa"/>
            <w:vAlign w:val="bottom"/>
          </w:tcPr>
          <w:p>
            <w:pPr>
              <w:spacing w:after="0" w:line="137" w:lineRule="exact"/>
              <w:rPr>
                <w:sz w:val="20"/>
                <w:szCs w:val="20"/>
                <w:color w:val="auto"/>
              </w:rPr>
            </w:pPr>
            <w:r>
              <w:rPr>
                <w:rFonts w:ascii="Arial" w:cs="Arial" w:eastAsia="Arial" w:hAnsi="Arial"/>
                <w:sz w:val="12"/>
                <w:szCs w:val="12"/>
                <w:color w:val="auto"/>
              </w:rPr>
              <w:t>Senior Vice President,</w:t>
            </w:r>
          </w:p>
        </w:tc>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40" w:type="dxa"/>
            <w:vAlign w:val="bottom"/>
          </w:tcPr>
          <w:p>
            <w:pPr>
              <w:jc w:val="right"/>
              <w:ind w:right="158"/>
              <w:spacing w:after="0" w:line="137" w:lineRule="exact"/>
              <w:rPr>
                <w:sz w:val="20"/>
                <w:szCs w:val="20"/>
                <w:color w:val="auto"/>
              </w:rPr>
            </w:pPr>
            <w:r>
              <w:rPr>
                <w:rFonts w:ascii="Arial" w:cs="Arial" w:eastAsia="Arial" w:hAnsi="Arial"/>
                <w:sz w:val="12"/>
                <w:szCs w:val="12"/>
                <w:color w:val="auto"/>
              </w:rPr>
              <w:t>100,942(3)</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100" w:type="dxa"/>
            <w:vAlign w:val="bottom"/>
          </w:tcPr>
          <w:p>
            <w:pPr>
              <w:spacing w:after="0" w:line="137" w:lineRule="exact"/>
              <w:rPr>
                <w:sz w:val="20"/>
                <w:szCs w:val="20"/>
                <w:color w:val="auto"/>
              </w:rPr>
            </w:pPr>
            <w:r>
              <w:rPr>
                <w:rFonts w:ascii="Arial" w:cs="Arial" w:eastAsia="Arial" w:hAnsi="Arial"/>
                <w:sz w:val="12"/>
                <w:szCs w:val="12"/>
                <w:color w:val="auto"/>
              </w:rPr>
              <w:t>International Operations</w:t>
            </w:r>
          </w:p>
        </w:tc>
        <w:tc>
          <w:tcPr>
            <w:tcW w:w="1220" w:type="dxa"/>
            <w:vAlign w:val="bottom"/>
          </w:tcPr>
          <w:p>
            <w:pPr>
              <w:ind w:left="520"/>
              <w:spacing w:after="0" w:line="137" w:lineRule="exact"/>
              <w:rPr>
                <w:sz w:val="20"/>
                <w:szCs w:val="20"/>
                <w:color w:val="auto"/>
              </w:rPr>
            </w:pPr>
            <w:r>
              <w:rPr>
                <w:rFonts w:ascii="Arial" w:cs="Arial" w:eastAsia="Arial" w:hAnsi="Arial"/>
                <w:sz w:val="12"/>
                <w:szCs w:val="12"/>
                <w:color w:val="auto"/>
              </w:rPr>
              <w:t>2000</w:t>
            </w:r>
          </w:p>
        </w:tc>
        <w:tc>
          <w:tcPr>
            <w:tcW w:w="1060" w:type="dxa"/>
            <w:vAlign w:val="bottom"/>
          </w:tcPr>
          <w:p>
            <w:pPr>
              <w:jc w:val="right"/>
              <w:ind w:right="218"/>
              <w:spacing w:after="0" w:line="137" w:lineRule="exact"/>
              <w:rPr>
                <w:sz w:val="20"/>
                <w:szCs w:val="20"/>
                <w:color w:val="auto"/>
              </w:rPr>
            </w:pPr>
            <w:r>
              <w:rPr>
                <w:rFonts w:ascii="Arial" w:cs="Arial" w:eastAsia="Arial" w:hAnsi="Arial"/>
                <w:sz w:val="12"/>
                <w:szCs w:val="12"/>
                <w:color w:val="auto"/>
              </w:rPr>
              <w:t>399,154</w:t>
            </w:r>
          </w:p>
        </w:tc>
        <w:tc>
          <w:tcPr>
            <w:tcW w:w="168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435,000</w:t>
            </w: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auto"/>
                <w:w w:val="92"/>
              </w:rPr>
              <w:t>37,618</w:t>
            </w:r>
          </w:p>
        </w:tc>
        <w:tc>
          <w:tcPr>
            <w:tcW w:w="1920" w:type="dxa"/>
            <w:vAlign w:val="bottom"/>
            <w:gridSpan w:val="2"/>
          </w:tcPr>
          <w:p>
            <w:pPr>
              <w:jc w:val="right"/>
              <w:ind w:right="538"/>
              <w:spacing w:after="0" w:line="137" w:lineRule="exact"/>
              <w:rPr>
                <w:sz w:val="20"/>
                <w:szCs w:val="20"/>
                <w:color w:val="auto"/>
              </w:rPr>
            </w:pPr>
            <w:r>
              <w:rPr>
                <w:rFonts w:ascii="Arial" w:cs="Arial" w:eastAsia="Arial" w:hAnsi="Arial"/>
                <w:sz w:val="12"/>
                <w:szCs w:val="12"/>
                <w:color w:val="auto"/>
              </w:rPr>
              <w:t>0</w:t>
            </w:r>
          </w:p>
        </w:tc>
        <w:tc>
          <w:tcPr>
            <w:tcW w:w="1240" w:type="dxa"/>
            <w:vAlign w:val="bottom"/>
          </w:tcPr>
          <w:p>
            <w:pPr>
              <w:jc w:val="right"/>
              <w:ind w:right="278"/>
              <w:spacing w:after="0" w:line="137" w:lineRule="exact"/>
              <w:rPr>
                <w:sz w:val="20"/>
                <w:szCs w:val="20"/>
                <w:color w:val="auto"/>
              </w:rPr>
            </w:pPr>
            <w:r>
              <w:rPr>
                <w:rFonts w:ascii="Arial" w:cs="Arial" w:eastAsia="Arial" w:hAnsi="Arial"/>
                <w:sz w:val="12"/>
                <w:szCs w:val="12"/>
                <w:color w:val="auto"/>
              </w:rPr>
              <w:t>90,000</w:t>
            </w:r>
          </w:p>
        </w:tc>
        <w:tc>
          <w:tcPr>
            <w:tcW w:w="1140" w:type="dxa"/>
            <w:vAlign w:val="bottom"/>
          </w:tcPr>
          <w:p>
            <w:pPr>
              <w:jc w:val="right"/>
              <w:ind w:right="138"/>
              <w:spacing w:after="0" w:line="137" w:lineRule="exact"/>
              <w:rPr>
                <w:sz w:val="20"/>
                <w:szCs w:val="20"/>
                <w:color w:val="auto"/>
              </w:rPr>
            </w:pPr>
            <w:r>
              <w:rPr>
                <w:rFonts w:ascii="Arial" w:cs="Arial" w:eastAsia="Arial" w:hAnsi="Arial"/>
                <w:sz w:val="12"/>
                <w:szCs w:val="12"/>
                <w:color w:val="auto"/>
              </w:rPr>
              <w:t>18,453</w:t>
            </w:r>
          </w:p>
        </w:tc>
        <w:tc>
          <w:tcPr>
            <w:tcW w:w="0" w:type="dxa"/>
            <w:vAlign w:val="bottom"/>
          </w:tcPr>
          <w:p>
            <w:pPr>
              <w:spacing w:after="0"/>
              <w:rPr>
                <w:sz w:val="1"/>
                <w:szCs w:val="1"/>
                <w:color w:val="auto"/>
              </w:rPr>
            </w:pPr>
          </w:p>
        </w:tc>
      </w:tr>
      <w:tr>
        <w:trPr>
          <w:trHeight w:val="137"/>
        </w:trPr>
        <w:tc>
          <w:tcPr>
            <w:tcW w:w="2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40" w:type="dxa"/>
            <w:vAlign w:val="bottom"/>
          </w:tcPr>
          <w:p>
            <w:pPr>
              <w:jc w:val="right"/>
              <w:ind w:right="158"/>
              <w:spacing w:after="0" w:line="137" w:lineRule="exact"/>
              <w:rPr>
                <w:sz w:val="20"/>
                <w:szCs w:val="20"/>
                <w:color w:val="auto"/>
              </w:rPr>
            </w:pPr>
            <w:r>
              <w:rPr>
                <w:rFonts w:ascii="Arial" w:cs="Arial" w:eastAsia="Arial" w:hAnsi="Arial"/>
                <w:sz w:val="12"/>
                <w:szCs w:val="12"/>
                <w:color w:val="auto"/>
              </w:rPr>
              <w:t>37,759(3)</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100" w:type="dxa"/>
            <w:vAlign w:val="bottom"/>
          </w:tcPr>
          <w:p>
            <w:pPr>
              <w:spacing w:after="0"/>
              <w:rPr>
                <w:sz w:val="11"/>
                <w:szCs w:val="11"/>
                <w:color w:val="auto"/>
              </w:rPr>
            </w:pPr>
          </w:p>
        </w:tc>
        <w:tc>
          <w:tcPr>
            <w:tcW w:w="1220" w:type="dxa"/>
            <w:vAlign w:val="bottom"/>
          </w:tcPr>
          <w:p>
            <w:pPr>
              <w:ind w:left="520"/>
              <w:spacing w:after="0" w:line="137" w:lineRule="exact"/>
              <w:rPr>
                <w:sz w:val="20"/>
                <w:szCs w:val="20"/>
                <w:color w:val="auto"/>
              </w:rPr>
            </w:pPr>
            <w:r>
              <w:rPr>
                <w:rFonts w:ascii="Arial" w:cs="Arial" w:eastAsia="Arial" w:hAnsi="Arial"/>
                <w:sz w:val="12"/>
                <w:szCs w:val="12"/>
                <w:color w:val="auto"/>
              </w:rPr>
              <w:t>1999</w:t>
            </w:r>
          </w:p>
        </w:tc>
        <w:tc>
          <w:tcPr>
            <w:tcW w:w="1060" w:type="dxa"/>
            <w:vAlign w:val="bottom"/>
          </w:tcPr>
          <w:p>
            <w:pPr>
              <w:jc w:val="right"/>
              <w:ind w:right="218"/>
              <w:spacing w:after="0" w:line="137" w:lineRule="exact"/>
              <w:rPr>
                <w:sz w:val="20"/>
                <w:szCs w:val="20"/>
                <w:color w:val="auto"/>
              </w:rPr>
            </w:pPr>
            <w:r>
              <w:rPr>
                <w:rFonts w:ascii="Arial" w:cs="Arial" w:eastAsia="Arial" w:hAnsi="Arial"/>
                <w:sz w:val="12"/>
                <w:szCs w:val="12"/>
                <w:color w:val="auto"/>
              </w:rPr>
              <w:t>322,404</w:t>
            </w:r>
          </w:p>
        </w:tc>
        <w:tc>
          <w:tcPr>
            <w:tcW w:w="168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220,000</w:t>
            </w: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auto"/>
                <w:w w:val="92"/>
              </w:rPr>
              <w:t>16,372</w:t>
            </w:r>
          </w:p>
        </w:tc>
        <w:tc>
          <w:tcPr>
            <w:tcW w:w="1920" w:type="dxa"/>
            <w:vAlign w:val="bottom"/>
            <w:gridSpan w:val="2"/>
          </w:tcPr>
          <w:p>
            <w:pPr>
              <w:jc w:val="right"/>
              <w:ind w:right="538"/>
              <w:spacing w:after="0" w:line="137" w:lineRule="exact"/>
              <w:rPr>
                <w:sz w:val="20"/>
                <w:szCs w:val="20"/>
                <w:color w:val="auto"/>
              </w:rPr>
            </w:pPr>
            <w:r>
              <w:rPr>
                <w:rFonts w:ascii="Arial" w:cs="Arial" w:eastAsia="Arial" w:hAnsi="Arial"/>
                <w:sz w:val="12"/>
                <w:szCs w:val="12"/>
                <w:color w:val="auto"/>
              </w:rPr>
              <w:t>0</w:t>
            </w:r>
          </w:p>
        </w:tc>
        <w:tc>
          <w:tcPr>
            <w:tcW w:w="1240" w:type="dxa"/>
            <w:vAlign w:val="bottom"/>
          </w:tcPr>
          <w:p>
            <w:pPr>
              <w:jc w:val="right"/>
              <w:ind w:right="278"/>
              <w:spacing w:after="0" w:line="137" w:lineRule="exact"/>
              <w:rPr>
                <w:sz w:val="20"/>
                <w:szCs w:val="20"/>
                <w:color w:val="auto"/>
              </w:rPr>
            </w:pPr>
            <w:r>
              <w:rPr>
                <w:rFonts w:ascii="Arial" w:cs="Arial" w:eastAsia="Arial" w:hAnsi="Arial"/>
                <w:sz w:val="12"/>
                <w:szCs w:val="12"/>
                <w:color w:val="auto"/>
              </w:rPr>
              <w:t>70,000</w:t>
            </w:r>
          </w:p>
        </w:tc>
        <w:tc>
          <w:tcPr>
            <w:tcW w:w="1140" w:type="dxa"/>
            <w:vAlign w:val="bottom"/>
          </w:tcPr>
          <w:p>
            <w:pPr>
              <w:jc w:val="right"/>
              <w:ind w:right="138"/>
              <w:spacing w:after="0" w:line="137" w:lineRule="exact"/>
              <w:rPr>
                <w:sz w:val="20"/>
                <w:szCs w:val="20"/>
                <w:color w:val="auto"/>
              </w:rPr>
            </w:pPr>
            <w:r>
              <w:rPr>
                <w:rFonts w:ascii="Arial" w:cs="Arial" w:eastAsia="Arial" w:hAnsi="Arial"/>
                <w:sz w:val="12"/>
                <w:szCs w:val="12"/>
                <w:color w:val="auto"/>
              </w:rPr>
              <w:t>13,673</w:t>
            </w:r>
          </w:p>
        </w:tc>
        <w:tc>
          <w:tcPr>
            <w:tcW w:w="0" w:type="dxa"/>
            <w:vAlign w:val="bottom"/>
          </w:tcPr>
          <w:p>
            <w:pPr>
              <w:spacing w:after="0"/>
              <w:rPr>
                <w:sz w:val="1"/>
                <w:szCs w:val="1"/>
                <w:color w:val="auto"/>
              </w:rPr>
            </w:pPr>
          </w:p>
        </w:tc>
      </w:tr>
      <w:tr>
        <w:trPr>
          <w:trHeight w:val="157"/>
        </w:trPr>
        <w:tc>
          <w:tcPr>
            <w:tcW w:w="2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40" w:type="dxa"/>
            <w:vAlign w:val="bottom"/>
          </w:tcPr>
          <w:p>
            <w:pPr>
              <w:jc w:val="right"/>
              <w:ind w:right="158"/>
              <w:spacing w:after="0"/>
              <w:rPr>
                <w:sz w:val="20"/>
                <w:szCs w:val="20"/>
                <w:color w:val="auto"/>
              </w:rPr>
            </w:pPr>
            <w:r>
              <w:rPr>
                <w:rFonts w:ascii="Arial" w:cs="Arial" w:eastAsia="Arial" w:hAnsi="Arial"/>
                <w:sz w:val="12"/>
                <w:szCs w:val="12"/>
                <w:color w:val="auto"/>
              </w:rPr>
              <w:t>17,859(3)</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1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-3867150</wp:posOffset>
            </wp:positionV>
            <wp:extent cx="1270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2109470</wp:posOffset>
            </wp:positionH>
            <wp:positionV relativeFrom="paragraph">
              <wp:posOffset>-3867150</wp:posOffset>
            </wp:positionV>
            <wp:extent cx="1270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-3867150</wp:posOffset>
            </wp:positionV>
            <wp:extent cx="1270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4733925</wp:posOffset>
            </wp:positionH>
            <wp:positionV relativeFrom="paragraph">
              <wp:posOffset>-3867150</wp:posOffset>
            </wp:positionV>
            <wp:extent cx="1270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-3236595</wp:posOffset>
            </wp:positionV>
            <wp:extent cx="1270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-3236595</wp:posOffset>
            </wp:positionV>
            <wp:extent cx="1270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-2574925</wp:posOffset>
            </wp:positionV>
            <wp:extent cx="1270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-2574925</wp:posOffset>
            </wp:positionV>
            <wp:extent cx="1270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-1912620</wp:posOffset>
            </wp:positionV>
            <wp:extent cx="1270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-1912620</wp:posOffset>
            </wp:positionV>
            <wp:extent cx="1270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-1337310</wp:posOffset>
            </wp:positionV>
            <wp:extent cx="1270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-1337310</wp:posOffset>
            </wp:positionV>
            <wp:extent cx="1270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-675640</wp:posOffset>
            </wp:positionV>
            <wp:extent cx="1270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-675640</wp:posOffset>
            </wp:positionV>
            <wp:extent cx="1270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78" w:lineRule="exact"/>
        <w:rPr>
          <w:sz w:val="20"/>
          <w:szCs w:val="20"/>
          <w:color w:val="auto"/>
        </w:rPr>
      </w:pPr>
    </w:p>
    <w:p>
      <w:pPr>
        <w:ind w:left="501" w:right="4260" w:hanging="501"/>
        <w:spacing w:after="0" w:line="263" w:lineRule="auto"/>
        <w:tabs>
          <w:tab w:leader="none" w:pos="50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number and value of restricted shares held as of December 31, 2001, respectively, were as follows: M. D. White - 100,000 / $5,575,000;</w:t>
      </w:r>
    </w:p>
    <w:p>
      <w:pPr>
        <w:spacing w:after="0" w:line="1" w:lineRule="exact"/>
        <w:rPr>
          <w:sz w:val="20"/>
          <w:szCs w:val="20"/>
          <w:color w:val="auto"/>
        </w:rPr>
      </w:pPr>
    </w:p>
    <w:p>
      <w:pPr>
        <w:ind w:left="501"/>
        <w:spacing w:after="0"/>
        <w:rPr>
          <w:sz w:val="20"/>
          <w:szCs w:val="20"/>
          <w:color w:val="auto"/>
        </w:rPr>
      </w:pPr>
      <w:r>
        <w:rPr>
          <w:rFonts w:ascii="Arial" w:cs="Arial" w:eastAsia="Arial" w:hAnsi="Arial"/>
          <w:sz w:val="16"/>
          <w:szCs w:val="16"/>
          <w:color w:val="auto"/>
        </w:rPr>
        <w:t>R. A. Gonzalez - 60,000 / $3,345,000;</w:t>
      </w:r>
    </w:p>
    <w:p>
      <w:pPr>
        <w:spacing w:after="0" w:line="15" w:lineRule="exact"/>
        <w:rPr>
          <w:sz w:val="20"/>
          <w:szCs w:val="20"/>
          <w:color w:val="auto"/>
        </w:rPr>
      </w:pPr>
    </w:p>
    <w:p>
      <w:pPr>
        <w:ind w:left="501"/>
        <w:spacing w:after="0"/>
        <w:rPr>
          <w:sz w:val="20"/>
          <w:szCs w:val="20"/>
          <w:color w:val="auto"/>
        </w:rPr>
      </w:pPr>
      <w:r>
        <w:rPr>
          <w:rFonts w:ascii="Arial" w:cs="Arial" w:eastAsia="Arial" w:hAnsi="Arial"/>
          <w:sz w:val="16"/>
          <w:szCs w:val="16"/>
          <w:color w:val="auto"/>
        </w:rPr>
        <w:t>J. M. Leiden - 75,000 / $4,181,250;</w:t>
      </w:r>
    </w:p>
    <w:p>
      <w:pPr>
        <w:spacing w:after="0" w:line="15" w:lineRule="exact"/>
        <w:rPr>
          <w:sz w:val="20"/>
          <w:szCs w:val="20"/>
          <w:color w:val="auto"/>
        </w:rPr>
      </w:pPr>
    </w:p>
    <w:p>
      <w:pPr>
        <w:ind w:left="501"/>
        <w:spacing w:after="0"/>
        <w:rPr>
          <w:sz w:val="20"/>
          <w:szCs w:val="20"/>
          <w:color w:val="auto"/>
        </w:rPr>
      </w:pPr>
      <w:r>
        <w:rPr>
          <w:rFonts w:ascii="Arial" w:cs="Arial" w:eastAsia="Arial" w:hAnsi="Arial"/>
          <w:sz w:val="16"/>
          <w:szCs w:val="16"/>
          <w:color w:val="auto"/>
        </w:rPr>
        <w:t>C. B. Begley - 40,000 / $2,230,000;</w:t>
      </w:r>
    </w:p>
    <w:p>
      <w:pPr>
        <w:spacing w:after="0" w:line="15" w:lineRule="exact"/>
        <w:rPr>
          <w:sz w:val="20"/>
          <w:szCs w:val="20"/>
          <w:color w:val="auto"/>
        </w:rPr>
      </w:pPr>
    </w:p>
    <w:p>
      <w:pPr>
        <w:ind w:left="501"/>
        <w:spacing w:after="0"/>
        <w:rPr>
          <w:sz w:val="20"/>
          <w:szCs w:val="20"/>
          <w:color w:val="auto"/>
        </w:rPr>
      </w:pPr>
      <w:r>
        <w:rPr>
          <w:rFonts w:ascii="Arial" w:cs="Arial" w:eastAsia="Arial" w:hAnsi="Arial"/>
          <w:sz w:val="16"/>
          <w:szCs w:val="16"/>
          <w:color w:val="auto"/>
        </w:rPr>
        <w:t>and W. G. Dempsey - 40,000 / $2,230,000.</w:t>
      </w:r>
    </w:p>
    <w:p>
      <w:pPr>
        <w:sectPr>
          <w:pgSz w:w="11900" w:h="16841" w:orient="portrait"/>
          <w:cols w:equalWidth="0" w:num="1">
            <w:col w:w="11421"/>
          </w:cols>
          <w:pgMar w:left="239" w:top="131" w:right="239" w:bottom="0" w:gutter="0" w:footer="0" w:header="0"/>
        </w:sectPr>
      </w:pPr>
    </w:p>
    <w:bookmarkStart w:id="10" w:name="page11"/>
    <w:bookmarkEnd w:id="10"/>
    <w:p>
      <w:pPr>
        <w:spacing w:after="0" w:line="49" w:lineRule="exact"/>
        <w:rPr>
          <w:sz w:val="20"/>
          <w:szCs w:val="20"/>
          <w:color w:val="auto"/>
        </w:rPr>
      </w:pPr>
    </w:p>
    <w:p>
      <w:pPr>
        <w:ind w:left="501"/>
        <w:spacing w:after="0"/>
        <w:rPr>
          <w:sz w:val="20"/>
          <w:szCs w:val="20"/>
          <w:color w:val="auto"/>
        </w:rPr>
      </w:pPr>
      <w:r>
        <w:rPr>
          <w:rFonts w:ascii="Arial" w:cs="Arial" w:eastAsia="Arial" w:hAnsi="Arial"/>
          <w:sz w:val="16"/>
          <w:szCs w:val="16"/>
          <w:color w:val="auto"/>
        </w:rPr>
        <w:t>The officers receive all dividends paid on these shares.</w:t>
      </w:r>
    </w:p>
    <w:p>
      <w:pPr>
        <w:spacing w:after="0" w:line="226" w:lineRule="exact"/>
        <w:rPr>
          <w:sz w:val="20"/>
          <w:szCs w:val="20"/>
          <w:color w:val="auto"/>
        </w:rPr>
      </w:pPr>
    </w:p>
    <w:p>
      <w:pPr>
        <w:ind w:left="501" w:hanging="501"/>
        <w:spacing w:after="0"/>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amounts are employer contributions made to the Stock Retirement Plan and made or accrued with respect to the 401(k) Supplemental Plan.</w:t>
      </w:r>
    </w:p>
    <w:p>
      <w:pPr>
        <w:spacing w:after="0" w:line="237" w:lineRule="exact"/>
        <w:rPr>
          <w:rFonts w:ascii="Arial" w:cs="Arial" w:eastAsia="Arial" w:hAnsi="Arial"/>
          <w:sz w:val="16"/>
          <w:szCs w:val="16"/>
          <w:color w:val="auto"/>
        </w:rPr>
      </w:pPr>
    </w:p>
    <w:p>
      <w:pPr>
        <w:ind w:left="501" w:hanging="501"/>
        <w:spacing w:after="0"/>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options are replacement stock options. They are described in the table captioned "Options Granted in Last Fiscal Year" on page 14.</w:t>
      </w:r>
    </w:p>
    <w:p>
      <w:pPr>
        <w:spacing w:after="0" w:line="225" w:lineRule="exact"/>
        <w:rPr>
          <w:rFonts w:ascii="Arial" w:cs="Arial" w:eastAsia="Arial" w:hAnsi="Arial"/>
          <w:sz w:val="16"/>
          <w:szCs w:val="16"/>
          <w:color w:val="auto"/>
        </w:rPr>
      </w:pPr>
    </w:p>
    <w:p>
      <w:pPr>
        <w:ind w:left="501" w:right="100" w:hanging="501"/>
        <w:spacing w:after="0" w:line="268" w:lineRule="auto"/>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July 2000, J. M. Leiden was elected Abbott's chief scientific officer and in August was elected its executive vice president, pharmaceuticals. During the first six months of 2000, he served as a non-employee director of Abbott and received $30,000 in fees and stock subject to certain restrictions on transfer having a market value of approximately $52,000 as compensation for that service. The table does not include these amounts. The compensation of Abbott's non-employee directors is described under "Compensation of Directors" on page 9.</w:t>
      </w:r>
    </w:p>
    <w:p>
      <w:pPr>
        <w:spacing w:after="0" w:line="183" w:lineRule="exact"/>
        <w:rPr>
          <w:rFonts w:ascii="Arial" w:cs="Arial" w:eastAsia="Arial" w:hAnsi="Arial"/>
          <w:sz w:val="16"/>
          <w:szCs w:val="16"/>
          <w:color w:val="auto"/>
        </w:rPr>
      </w:pPr>
    </w:p>
    <w:p>
      <w:pPr>
        <w:ind w:left="501" w:hanging="501"/>
        <w:spacing w:after="0"/>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amount includes $52,257 in reimbursed relocation expenses in addition to those provided under Abbott's standard relocation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
        <w:spacing w:after="0"/>
        <w:rPr>
          <w:sz w:val="20"/>
          <w:szCs w:val="20"/>
          <w:color w:val="auto"/>
        </w:rPr>
      </w:pPr>
      <w:r>
        <w:rPr>
          <w:rFonts w:ascii="Arial" w:cs="Arial" w:eastAsia="Arial" w:hAnsi="Arial"/>
          <w:sz w:val="16"/>
          <w:szCs w:val="16"/>
          <w:color w:val="2B85FF"/>
        </w:rPr>
        <w:t>Stock Options</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tables summarize the named officers' stock option activity during 2001.</w:t>
      </w:r>
    </w:p>
    <w:p>
      <w:pPr>
        <w:spacing w:after="0" w:line="208"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40" w:type="dxa"/>
            <w:vAlign w:val="bottom"/>
            <w:gridSpan w:val="3"/>
          </w:tcPr>
          <w:p>
            <w:pPr>
              <w:spacing w:after="0"/>
              <w:rPr>
                <w:sz w:val="20"/>
                <w:szCs w:val="20"/>
                <w:color w:val="auto"/>
              </w:rPr>
            </w:pPr>
            <w:r>
              <w:rPr>
                <w:rFonts w:ascii="Arial" w:cs="Arial" w:eastAsia="Arial" w:hAnsi="Arial"/>
                <w:sz w:val="12"/>
                <w:szCs w:val="12"/>
                <w:b w:val="1"/>
                <w:bCs w:val="1"/>
                <w:color w:val="auto"/>
              </w:rPr>
              <w:t>Options Granted in Last Fiscal Year</w:t>
            </w: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315"/>
        </w:trPr>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2"/>
                <w:szCs w:val="12"/>
                <w:b w:val="1"/>
                <w:bCs w:val="1"/>
                <w:color w:val="auto"/>
              </w:rPr>
              <w:t>Potential Gain at</w:t>
            </w:r>
          </w:p>
        </w:tc>
      </w:tr>
      <w:tr>
        <w:trPr>
          <w:trHeight w:val="137"/>
        </w:trPr>
        <w:tc>
          <w:tcPr>
            <w:tcW w:w="23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6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Assumed Annual Rates o</w:t>
            </w:r>
          </w:p>
        </w:tc>
      </w:tr>
      <w:tr>
        <w:trPr>
          <w:trHeight w:val="137"/>
        </w:trPr>
        <w:tc>
          <w:tcPr>
            <w:tcW w:w="23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6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Price Appreciation for</w:t>
            </w:r>
          </w:p>
        </w:tc>
      </w:tr>
      <w:tr>
        <w:trPr>
          <w:trHeight w:val="161"/>
        </w:trPr>
        <w:tc>
          <w:tcPr>
            <w:tcW w:w="2300" w:type="dxa"/>
            <w:vAlign w:val="bottom"/>
          </w:tcPr>
          <w:p>
            <w:pPr>
              <w:spacing w:after="0"/>
              <w:rPr>
                <w:sz w:val="13"/>
                <w:szCs w:val="13"/>
                <w:color w:val="auto"/>
              </w:rPr>
            </w:pPr>
          </w:p>
        </w:tc>
        <w:tc>
          <w:tcPr>
            <w:tcW w:w="2920" w:type="dxa"/>
            <w:vAlign w:val="bottom"/>
            <w:gridSpan w:val="2"/>
          </w:tcPr>
          <w:p>
            <w:pPr>
              <w:ind w:left="1880"/>
              <w:spacing w:after="0"/>
              <w:rPr>
                <w:sz w:val="20"/>
                <w:szCs w:val="20"/>
                <w:color w:val="auto"/>
              </w:rPr>
            </w:pPr>
            <w:r>
              <w:rPr>
                <w:rFonts w:ascii="Arial" w:cs="Arial" w:eastAsia="Arial" w:hAnsi="Arial"/>
                <w:sz w:val="12"/>
                <w:szCs w:val="12"/>
                <w:b w:val="1"/>
                <w:bCs w:val="1"/>
                <w:color w:val="auto"/>
              </w:rPr>
              <w:t>Individual Grants</w:t>
            </w: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60" w:type="dxa"/>
            <w:vAlign w:val="bottom"/>
          </w:tcPr>
          <w:p>
            <w:pPr>
              <w:jc w:val="right"/>
              <w:ind w:right="138"/>
              <w:spacing w:after="0"/>
              <w:rPr>
                <w:sz w:val="20"/>
                <w:szCs w:val="20"/>
                <w:color w:val="auto"/>
              </w:rPr>
            </w:pPr>
            <w:r>
              <w:rPr>
                <w:rFonts w:ascii="Arial" w:cs="Arial" w:eastAsia="Arial" w:hAnsi="Arial"/>
                <w:sz w:val="12"/>
                <w:szCs w:val="12"/>
                <w:b w:val="1"/>
                <w:bCs w:val="1"/>
                <w:color w:val="auto"/>
              </w:rPr>
              <w:t>Term (1):</w:t>
            </w:r>
          </w:p>
        </w:tc>
      </w:tr>
      <w:tr>
        <w:trPr>
          <w:trHeight w:val="97"/>
        </w:trPr>
        <w:tc>
          <w:tcPr>
            <w:tcW w:w="2300" w:type="dxa"/>
            <w:vAlign w:val="bottom"/>
            <w:tcBorders>
              <w:bottom w:val="single" w:sz="8" w:color="808080"/>
            </w:tcBorders>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r>
      <w:tr>
        <w:trPr>
          <w:trHeight w:val="219"/>
        </w:trPr>
        <w:tc>
          <w:tcPr>
            <w:tcW w:w="2300" w:type="dxa"/>
            <w:vAlign w:val="bottom"/>
          </w:tcPr>
          <w:p>
            <w:pPr>
              <w:spacing w:after="0"/>
              <w:rPr>
                <w:sz w:val="19"/>
                <w:szCs w:val="19"/>
                <w:color w:val="auto"/>
              </w:rPr>
            </w:pPr>
          </w:p>
        </w:tc>
        <w:tc>
          <w:tcPr>
            <w:tcW w:w="2920" w:type="dxa"/>
            <w:vAlign w:val="bottom"/>
            <w:gridSpan w:val="2"/>
          </w:tcPr>
          <w:p>
            <w:pPr>
              <w:jc w:val="center"/>
              <w:ind w:right="238"/>
              <w:spacing w:after="0"/>
              <w:rPr>
                <w:sz w:val="20"/>
                <w:szCs w:val="20"/>
                <w:color w:val="auto"/>
              </w:rPr>
            </w:pPr>
            <w:r>
              <w:rPr>
                <w:rFonts w:ascii="Arial" w:cs="Arial" w:eastAsia="Arial" w:hAnsi="Arial"/>
                <w:sz w:val="12"/>
                <w:szCs w:val="12"/>
                <w:b w:val="1"/>
                <w:bCs w:val="1"/>
                <w:color w:val="auto"/>
                <w:w w:val="94"/>
              </w:rPr>
              <w:t>Number of Securities</w:t>
            </w:r>
          </w:p>
        </w:tc>
        <w:tc>
          <w:tcPr>
            <w:tcW w:w="1780" w:type="dxa"/>
            <w:vAlign w:val="bottom"/>
            <w:gridSpan w:val="2"/>
          </w:tcPr>
          <w:p>
            <w:pPr>
              <w:jc w:val="center"/>
              <w:ind w:right="580"/>
              <w:spacing w:after="0"/>
              <w:rPr>
                <w:sz w:val="20"/>
                <w:szCs w:val="20"/>
                <w:color w:val="auto"/>
              </w:rPr>
            </w:pPr>
            <w:r>
              <w:rPr>
                <w:rFonts w:ascii="Arial" w:cs="Arial" w:eastAsia="Arial" w:hAnsi="Arial"/>
                <w:sz w:val="12"/>
                <w:szCs w:val="12"/>
                <w:b w:val="1"/>
                <w:bCs w:val="1"/>
                <w:color w:val="auto"/>
                <w:w w:val="95"/>
              </w:rPr>
              <w:t>% of Total Options/</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137"/>
        </w:trPr>
        <w:tc>
          <w:tcPr>
            <w:tcW w:w="2300" w:type="dxa"/>
            <w:vAlign w:val="bottom"/>
          </w:tcPr>
          <w:p>
            <w:pPr>
              <w:spacing w:after="0"/>
              <w:rPr>
                <w:sz w:val="11"/>
                <w:szCs w:val="11"/>
                <w:color w:val="auto"/>
              </w:rPr>
            </w:pPr>
          </w:p>
        </w:tc>
        <w:tc>
          <w:tcPr>
            <w:tcW w:w="2920" w:type="dxa"/>
            <w:vAlign w:val="bottom"/>
            <w:gridSpan w:val="2"/>
          </w:tcPr>
          <w:p>
            <w:pPr>
              <w:jc w:val="center"/>
              <w:ind w:right="238"/>
              <w:spacing w:after="0" w:line="137" w:lineRule="exact"/>
              <w:rPr>
                <w:sz w:val="20"/>
                <w:szCs w:val="20"/>
                <w:color w:val="auto"/>
              </w:rPr>
            </w:pPr>
            <w:r>
              <w:rPr>
                <w:rFonts w:ascii="Arial" w:cs="Arial" w:eastAsia="Arial" w:hAnsi="Arial"/>
                <w:sz w:val="12"/>
                <w:szCs w:val="12"/>
                <w:b w:val="1"/>
                <w:bCs w:val="1"/>
                <w:color w:val="auto"/>
                <w:w w:val="95"/>
              </w:rPr>
              <w:t>Underlying Options/</w:t>
            </w:r>
          </w:p>
        </w:tc>
        <w:tc>
          <w:tcPr>
            <w:tcW w:w="1780" w:type="dxa"/>
            <w:vAlign w:val="bottom"/>
            <w:gridSpan w:val="2"/>
          </w:tcPr>
          <w:p>
            <w:pPr>
              <w:jc w:val="center"/>
              <w:ind w:right="580"/>
              <w:spacing w:after="0" w:line="137" w:lineRule="exact"/>
              <w:rPr>
                <w:sz w:val="20"/>
                <w:szCs w:val="20"/>
                <w:color w:val="auto"/>
              </w:rPr>
            </w:pPr>
            <w:r>
              <w:rPr>
                <w:rFonts w:ascii="Arial" w:cs="Arial" w:eastAsia="Arial" w:hAnsi="Arial"/>
                <w:sz w:val="12"/>
                <w:szCs w:val="12"/>
                <w:b w:val="1"/>
                <w:bCs w:val="1"/>
                <w:color w:val="auto"/>
                <w:w w:val="95"/>
              </w:rPr>
              <w:t>SARs Granted to</w:t>
            </w:r>
          </w:p>
        </w:tc>
        <w:tc>
          <w:tcPr>
            <w:tcW w:w="128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2"/>
              </w:rPr>
              <w:t>Exercise or</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60" w:type="dxa"/>
            <w:vAlign w:val="bottom"/>
          </w:tcPr>
          <w:p>
            <w:pPr>
              <w:spacing w:after="0"/>
              <w:rPr>
                <w:sz w:val="11"/>
                <w:szCs w:val="11"/>
                <w:color w:val="auto"/>
              </w:rPr>
            </w:pPr>
          </w:p>
        </w:tc>
      </w:tr>
      <w:tr>
        <w:trPr>
          <w:trHeight w:val="137"/>
        </w:trPr>
        <w:tc>
          <w:tcPr>
            <w:tcW w:w="2300" w:type="dxa"/>
            <w:vAlign w:val="bottom"/>
          </w:tcPr>
          <w:p>
            <w:pPr>
              <w:spacing w:after="0"/>
              <w:rPr>
                <w:sz w:val="11"/>
                <w:szCs w:val="11"/>
                <w:color w:val="auto"/>
              </w:rPr>
            </w:pPr>
          </w:p>
        </w:tc>
        <w:tc>
          <w:tcPr>
            <w:tcW w:w="2920" w:type="dxa"/>
            <w:vAlign w:val="bottom"/>
            <w:gridSpan w:val="2"/>
          </w:tcPr>
          <w:p>
            <w:pPr>
              <w:jc w:val="center"/>
              <w:ind w:right="238"/>
              <w:spacing w:after="0" w:line="137" w:lineRule="exact"/>
              <w:rPr>
                <w:sz w:val="20"/>
                <w:szCs w:val="20"/>
                <w:color w:val="auto"/>
              </w:rPr>
            </w:pPr>
            <w:r>
              <w:rPr>
                <w:rFonts w:ascii="Arial" w:cs="Arial" w:eastAsia="Arial" w:hAnsi="Arial"/>
                <w:sz w:val="12"/>
                <w:szCs w:val="12"/>
                <w:b w:val="1"/>
                <w:bCs w:val="1"/>
                <w:color w:val="auto"/>
                <w:w w:val="95"/>
              </w:rPr>
              <w:t>SARs Granted</w:t>
            </w:r>
          </w:p>
        </w:tc>
        <w:tc>
          <w:tcPr>
            <w:tcW w:w="1780" w:type="dxa"/>
            <w:vAlign w:val="bottom"/>
            <w:gridSpan w:val="2"/>
          </w:tcPr>
          <w:p>
            <w:pPr>
              <w:jc w:val="center"/>
              <w:ind w:right="580"/>
              <w:spacing w:after="0" w:line="137" w:lineRule="exact"/>
              <w:rPr>
                <w:sz w:val="20"/>
                <w:szCs w:val="20"/>
                <w:color w:val="auto"/>
              </w:rPr>
            </w:pPr>
            <w:r>
              <w:rPr>
                <w:rFonts w:ascii="Arial" w:cs="Arial" w:eastAsia="Arial" w:hAnsi="Arial"/>
                <w:sz w:val="12"/>
                <w:szCs w:val="12"/>
                <w:b w:val="1"/>
                <w:bCs w:val="1"/>
                <w:color w:val="auto"/>
                <w:w w:val="90"/>
              </w:rPr>
              <w:t>Employees in Fiscal</w:t>
            </w:r>
          </w:p>
        </w:tc>
        <w:tc>
          <w:tcPr>
            <w:tcW w:w="128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83"/>
              </w:rPr>
              <w:t>Base</w:t>
            </w:r>
          </w:p>
        </w:tc>
        <w:tc>
          <w:tcPr>
            <w:tcW w:w="1040" w:type="dxa"/>
            <w:vAlign w:val="bottom"/>
          </w:tcPr>
          <w:p>
            <w:pPr>
              <w:jc w:val="center"/>
              <w:ind w:left="118"/>
              <w:spacing w:after="0" w:line="137" w:lineRule="exact"/>
              <w:rPr>
                <w:sz w:val="20"/>
                <w:szCs w:val="20"/>
                <w:color w:val="auto"/>
              </w:rPr>
            </w:pPr>
            <w:r>
              <w:rPr>
                <w:rFonts w:ascii="Arial" w:cs="Arial" w:eastAsia="Arial" w:hAnsi="Arial"/>
                <w:sz w:val="12"/>
                <w:szCs w:val="12"/>
                <w:b w:val="1"/>
                <w:bCs w:val="1"/>
                <w:color w:val="auto"/>
                <w:w w:val="98"/>
              </w:rPr>
              <w:t>Expiration</w:t>
            </w:r>
          </w:p>
        </w:tc>
        <w:tc>
          <w:tcPr>
            <w:tcW w:w="240" w:type="dxa"/>
            <w:vAlign w:val="bottom"/>
          </w:tcPr>
          <w:p>
            <w:pPr>
              <w:spacing w:after="0"/>
              <w:rPr>
                <w:sz w:val="11"/>
                <w:szCs w:val="11"/>
                <w:color w:val="auto"/>
              </w:rPr>
            </w:pPr>
          </w:p>
        </w:tc>
        <w:tc>
          <w:tcPr>
            <w:tcW w:w="1960" w:type="dxa"/>
            <w:vAlign w:val="bottom"/>
          </w:tcPr>
          <w:p>
            <w:pPr>
              <w:spacing w:after="0"/>
              <w:rPr>
                <w:sz w:val="11"/>
                <w:szCs w:val="11"/>
                <w:color w:val="auto"/>
              </w:rPr>
            </w:pPr>
          </w:p>
        </w:tc>
      </w:tr>
      <w:tr>
        <w:trPr>
          <w:trHeight w:val="161"/>
        </w:trPr>
        <w:tc>
          <w:tcPr>
            <w:tcW w:w="230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2460" w:type="dxa"/>
            <w:vAlign w:val="bottom"/>
          </w:tcPr>
          <w:p>
            <w:pPr>
              <w:jc w:val="right"/>
              <w:ind w:right="938"/>
              <w:spacing w:after="0"/>
              <w:rPr>
                <w:sz w:val="20"/>
                <w:szCs w:val="20"/>
                <w:color w:val="auto"/>
              </w:rPr>
            </w:pPr>
            <w:r>
              <w:rPr>
                <w:rFonts w:ascii="Arial" w:cs="Arial" w:eastAsia="Arial" w:hAnsi="Arial"/>
                <w:sz w:val="12"/>
                <w:szCs w:val="12"/>
                <w:b w:val="1"/>
                <w:bCs w:val="1"/>
                <w:color w:val="auto"/>
              </w:rPr>
              <w:t>(#)(2)</w:t>
            </w:r>
          </w:p>
        </w:tc>
        <w:tc>
          <w:tcPr>
            <w:tcW w:w="460" w:type="dxa"/>
            <w:vAlign w:val="bottom"/>
          </w:tcPr>
          <w:p>
            <w:pPr>
              <w:spacing w:after="0"/>
              <w:rPr>
                <w:sz w:val="13"/>
                <w:szCs w:val="13"/>
                <w:color w:val="auto"/>
              </w:rPr>
            </w:pPr>
          </w:p>
        </w:tc>
        <w:tc>
          <w:tcPr>
            <w:tcW w:w="1780" w:type="dxa"/>
            <w:vAlign w:val="bottom"/>
            <w:gridSpan w:val="2"/>
          </w:tcPr>
          <w:p>
            <w:pPr>
              <w:jc w:val="center"/>
              <w:ind w:right="580"/>
              <w:spacing w:after="0"/>
              <w:rPr>
                <w:sz w:val="20"/>
                <w:szCs w:val="20"/>
                <w:color w:val="auto"/>
              </w:rPr>
            </w:pPr>
            <w:r>
              <w:rPr>
                <w:rFonts w:ascii="Arial" w:cs="Arial" w:eastAsia="Arial" w:hAnsi="Arial"/>
                <w:sz w:val="12"/>
                <w:szCs w:val="12"/>
                <w:b w:val="1"/>
                <w:bCs w:val="1"/>
                <w:color w:val="auto"/>
                <w:w w:val="92"/>
              </w:rPr>
              <w:t>Year</w:t>
            </w: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w w:val="92"/>
              </w:rPr>
              <w:t>Price ($/Sh.)</w:t>
            </w:r>
          </w:p>
        </w:tc>
        <w:tc>
          <w:tcPr>
            <w:tcW w:w="1040" w:type="dxa"/>
            <w:vAlign w:val="bottom"/>
          </w:tcPr>
          <w:p>
            <w:pPr>
              <w:jc w:val="center"/>
              <w:ind w:left="98"/>
              <w:spacing w:after="0"/>
              <w:rPr>
                <w:sz w:val="20"/>
                <w:szCs w:val="20"/>
                <w:color w:val="auto"/>
              </w:rPr>
            </w:pPr>
            <w:r>
              <w:rPr>
                <w:rFonts w:ascii="Arial" w:cs="Arial" w:eastAsia="Arial" w:hAnsi="Arial"/>
                <w:sz w:val="12"/>
                <w:szCs w:val="12"/>
                <w:b w:val="1"/>
                <w:bCs w:val="1"/>
                <w:color w:val="auto"/>
                <w:w w:val="92"/>
              </w:rPr>
              <w:t>Date</w:t>
            </w:r>
          </w:p>
        </w:tc>
        <w:tc>
          <w:tcPr>
            <w:tcW w:w="2200" w:type="dxa"/>
            <w:vAlign w:val="bottom"/>
            <w:gridSpan w:val="2"/>
          </w:tcPr>
          <w:p>
            <w:pPr>
              <w:jc w:val="right"/>
              <w:ind w:right="398"/>
              <w:spacing w:after="0"/>
              <w:rPr>
                <w:sz w:val="20"/>
                <w:szCs w:val="20"/>
                <w:color w:val="auto"/>
              </w:rPr>
            </w:pPr>
            <w:r>
              <w:rPr>
                <w:rFonts w:ascii="Arial" w:cs="Arial" w:eastAsia="Arial" w:hAnsi="Arial"/>
                <w:sz w:val="12"/>
                <w:szCs w:val="12"/>
                <w:b w:val="1"/>
                <w:bCs w:val="1"/>
                <w:color w:val="auto"/>
              </w:rPr>
              <w:t>5% ($)</w:t>
            </w:r>
          </w:p>
        </w:tc>
      </w:tr>
      <w:tr>
        <w:trPr>
          <w:trHeight w:val="320"/>
        </w:trPr>
        <w:tc>
          <w:tcPr>
            <w:tcW w:w="230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gridSpan w:val="2"/>
          </w:tcPr>
          <w:p>
            <w:pPr>
              <w:spacing w:after="0"/>
              <w:rPr>
                <w:sz w:val="24"/>
                <w:szCs w:val="24"/>
                <w:color w:val="auto"/>
              </w:rPr>
            </w:pPr>
          </w:p>
        </w:tc>
      </w:tr>
      <w:tr>
        <w:trPr>
          <w:trHeight w:val="223"/>
        </w:trPr>
        <w:tc>
          <w:tcPr>
            <w:tcW w:w="2300" w:type="dxa"/>
            <w:vAlign w:val="bottom"/>
          </w:tcPr>
          <w:p>
            <w:pPr>
              <w:spacing w:after="0"/>
              <w:rPr>
                <w:sz w:val="20"/>
                <w:szCs w:val="20"/>
                <w:color w:val="auto"/>
              </w:rPr>
            </w:pPr>
            <w:r>
              <w:rPr>
                <w:rFonts w:ascii="Arial" w:cs="Arial" w:eastAsia="Arial" w:hAnsi="Arial"/>
                <w:sz w:val="12"/>
                <w:szCs w:val="12"/>
                <w:color w:val="auto"/>
              </w:rPr>
              <w:t>Miles D. White</w:t>
            </w:r>
          </w:p>
        </w:tc>
        <w:tc>
          <w:tcPr>
            <w:tcW w:w="2460" w:type="dxa"/>
            <w:vAlign w:val="bottom"/>
          </w:tcPr>
          <w:p>
            <w:pPr>
              <w:jc w:val="right"/>
              <w:ind w:right="818"/>
              <w:spacing w:after="0"/>
              <w:rPr>
                <w:sz w:val="20"/>
                <w:szCs w:val="20"/>
                <w:color w:val="auto"/>
              </w:rPr>
            </w:pPr>
            <w:r>
              <w:rPr>
                <w:rFonts w:ascii="Arial" w:cs="Arial" w:eastAsia="Arial" w:hAnsi="Arial"/>
                <w:sz w:val="12"/>
                <w:szCs w:val="12"/>
                <w:color w:val="auto"/>
              </w:rPr>
              <w:t>525,000(3)</w:t>
            </w:r>
          </w:p>
        </w:tc>
        <w:tc>
          <w:tcPr>
            <w:tcW w:w="460" w:type="dxa"/>
            <w:vAlign w:val="bottom"/>
          </w:tcPr>
          <w:p>
            <w:pPr>
              <w:spacing w:after="0"/>
              <w:rPr>
                <w:sz w:val="19"/>
                <w:szCs w:val="19"/>
                <w:color w:val="auto"/>
              </w:rPr>
            </w:pPr>
          </w:p>
        </w:tc>
        <w:tc>
          <w:tcPr>
            <w:tcW w:w="1460" w:type="dxa"/>
            <w:vAlign w:val="bottom"/>
          </w:tcPr>
          <w:p>
            <w:pPr>
              <w:jc w:val="center"/>
              <w:ind w:right="198"/>
              <w:spacing w:after="0"/>
              <w:rPr>
                <w:sz w:val="20"/>
                <w:szCs w:val="20"/>
                <w:color w:val="auto"/>
              </w:rPr>
            </w:pPr>
            <w:r>
              <w:rPr>
                <w:rFonts w:ascii="Arial" w:cs="Arial" w:eastAsia="Arial" w:hAnsi="Arial"/>
                <w:sz w:val="12"/>
                <w:szCs w:val="12"/>
                <w:color w:val="auto"/>
                <w:w w:val="87"/>
              </w:rPr>
              <w:t>2.3%</w:t>
            </w:r>
          </w:p>
        </w:tc>
        <w:tc>
          <w:tcPr>
            <w:tcW w:w="3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92"/>
              </w:rPr>
              <w:t>$48.36</w:t>
            </w:r>
          </w:p>
        </w:tc>
        <w:tc>
          <w:tcPr>
            <w:tcW w:w="1040" w:type="dxa"/>
            <w:vAlign w:val="bottom"/>
          </w:tcPr>
          <w:p>
            <w:pPr>
              <w:jc w:val="center"/>
              <w:ind w:left="98"/>
              <w:spacing w:after="0"/>
              <w:rPr>
                <w:sz w:val="20"/>
                <w:szCs w:val="20"/>
                <w:color w:val="auto"/>
              </w:rPr>
            </w:pPr>
            <w:r>
              <w:rPr>
                <w:rFonts w:ascii="Arial" w:cs="Arial" w:eastAsia="Arial" w:hAnsi="Arial"/>
                <w:sz w:val="12"/>
                <w:szCs w:val="12"/>
                <w:color w:val="auto"/>
                <w:w w:val="94"/>
              </w:rPr>
              <w:t>02/08/11</w:t>
            </w:r>
          </w:p>
        </w:tc>
        <w:tc>
          <w:tcPr>
            <w:tcW w:w="2200" w:type="dxa"/>
            <w:vAlign w:val="bottom"/>
            <w:gridSpan w:val="2"/>
          </w:tcPr>
          <w:p>
            <w:pPr>
              <w:jc w:val="right"/>
              <w:ind w:right="398"/>
              <w:spacing w:after="0"/>
              <w:rPr>
                <w:sz w:val="20"/>
                <w:szCs w:val="20"/>
                <w:color w:val="auto"/>
              </w:rPr>
            </w:pPr>
            <w:r>
              <w:rPr>
                <w:rFonts w:ascii="Arial" w:cs="Arial" w:eastAsia="Arial" w:hAnsi="Arial"/>
                <w:sz w:val="12"/>
                <w:szCs w:val="12"/>
                <w:color w:val="auto"/>
              </w:rPr>
              <w:t>$15,967,006</w:t>
            </w:r>
          </w:p>
        </w:tc>
      </w:tr>
      <w:tr>
        <w:trPr>
          <w:trHeight w:val="137"/>
        </w:trPr>
        <w:tc>
          <w:tcPr>
            <w:tcW w:w="2300" w:type="dxa"/>
            <w:vAlign w:val="bottom"/>
          </w:tcPr>
          <w:p>
            <w:pPr>
              <w:ind w:left="260"/>
              <w:spacing w:after="0" w:line="137" w:lineRule="exact"/>
              <w:rPr>
                <w:sz w:val="20"/>
                <w:szCs w:val="20"/>
                <w:color w:val="auto"/>
              </w:rPr>
            </w:pPr>
            <w:r>
              <w:rPr>
                <w:rFonts w:ascii="Arial" w:cs="Arial" w:eastAsia="Arial" w:hAnsi="Arial"/>
                <w:sz w:val="12"/>
                <w:szCs w:val="12"/>
                <w:color w:val="auto"/>
              </w:rPr>
              <w:t>Replacement Options:</w:t>
            </w:r>
          </w:p>
        </w:tc>
        <w:tc>
          <w:tcPr>
            <w:tcW w:w="2460" w:type="dxa"/>
            <w:vAlign w:val="bottom"/>
          </w:tcPr>
          <w:p>
            <w:pPr>
              <w:jc w:val="right"/>
              <w:ind w:right="958"/>
              <w:spacing w:after="0" w:line="137" w:lineRule="exact"/>
              <w:rPr>
                <w:sz w:val="20"/>
                <w:szCs w:val="20"/>
                <w:color w:val="auto"/>
              </w:rPr>
            </w:pPr>
            <w:r>
              <w:rPr>
                <w:rFonts w:ascii="Arial" w:cs="Arial" w:eastAsia="Arial" w:hAnsi="Arial"/>
                <w:sz w:val="12"/>
                <w:szCs w:val="12"/>
                <w:color w:val="auto"/>
              </w:rPr>
              <w:t>2,445</w:t>
            </w:r>
          </w:p>
        </w:tc>
        <w:tc>
          <w:tcPr>
            <w:tcW w:w="460" w:type="dxa"/>
            <w:vAlign w:val="bottom"/>
          </w:tcPr>
          <w:p>
            <w:pPr>
              <w:spacing w:after="0"/>
              <w:rPr>
                <w:sz w:val="11"/>
                <w:szCs w:val="11"/>
                <w:color w:val="auto"/>
              </w:rPr>
            </w:pPr>
          </w:p>
        </w:tc>
        <w:tc>
          <w:tcPr>
            <w:tcW w:w="1460" w:type="dxa"/>
            <w:vAlign w:val="bottom"/>
          </w:tcPr>
          <w:p>
            <w:pPr>
              <w:jc w:val="center"/>
              <w:ind w:right="198"/>
              <w:spacing w:after="0" w:line="137" w:lineRule="exact"/>
              <w:rPr>
                <w:sz w:val="20"/>
                <w:szCs w:val="20"/>
                <w:color w:val="auto"/>
              </w:rPr>
            </w:pPr>
            <w:r>
              <w:rPr>
                <w:rFonts w:ascii="Arial" w:cs="Arial" w:eastAsia="Arial" w:hAnsi="Arial"/>
                <w:sz w:val="12"/>
                <w:szCs w:val="12"/>
                <w:color w:val="auto"/>
                <w:w w:val="87"/>
              </w:rPr>
              <w:t>0.0%</w:t>
            </w:r>
          </w:p>
        </w:tc>
        <w:tc>
          <w:tcPr>
            <w:tcW w:w="320" w:type="dxa"/>
            <w:vAlign w:val="bottom"/>
          </w:tcPr>
          <w:p>
            <w:pPr>
              <w:spacing w:after="0"/>
              <w:rPr>
                <w:sz w:val="11"/>
                <w:szCs w:val="11"/>
                <w:color w:val="auto"/>
              </w:rPr>
            </w:pPr>
          </w:p>
        </w:tc>
        <w:tc>
          <w:tcPr>
            <w:tcW w:w="1280" w:type="dxa"/>
            <w:vAlign w:val="bottom"/>
          </w:tcPr>
          <w:p>
            <w:pPr>
              <w:jc w:val="center"/>
              <w:spacing w:after="0" w:line="137" w:lineRule="exact"/>
              <w:rPr>
                <w:sz w:val="20"/>
                <w:szCs w:val="20"/>
                <w:color w:val="auto"/>
              </w:rPr>
            </w:pPr>
            <w:r>
              <w:rPr>
                <w:rFonts w:ascii="Arial" w:cs="Arial" w:eastAsia="Arial" w:hAnsi="Arial"/>
                <w:sz w:val="12"/>
                <w:szCs w:val="12"/>
                <w:color w:val="auto"/>
                <w:w w:val="93"/>
              </w:rPr>
              <w:t>50.95</w:t>
            </w:r>
          </w:p>
        </w:tc>
        <w:tc>
          <w:tcPr>
            <w:tcW w:w="1040" w:type="dxa"/>
            <w:vAlign w:val="bottom"/>
          </w:tcPr>
          <w:p>
            <w:pPr>
              <w:jc w:val="center"/>
              <w:ind w:left="98"/>
              <w:spacing w:after="0" w:line="137" w:lineRule="exact"/>
              <w:rPr>
                <w:sz w:val="20"/>
                <w:szCs w:val="20"/>
                <w:color w:val="auto"/>
              </w:rPr>
            </w:pPr>
            <w:r>
              <w:rPr>
                <w:rFonts w:ascii="Arial" w:cs="Arial" w:eastAsia="Arial" w:hAnsi="Arial"/>
                <w:sz w:val="12"/>
                <w:szCs w:val="12"/>
                <w:color w:val="auto"/>
                <w:w w:val="94"/>
              </w:rPr>
              <w:t>04/09/02</w:t>
            </w:r>
          </w:p>
        </w:tc>
        <w:tc>
          <w:tcPr>
            <w:tcW w:w="2200" w:type="dxa"/>
            <w:vAlign w:val="bottom"/>
            <w:gridSpan w:val="2"/>
          </w:tcPr>
          <w:p>
            <w:pPr>
              <w:jc w:val="right"/>
              <w:ind w:right="398"/>
              <w:spacing w:after="0" w:line="137" w:lineRule="exact"/>
              <w:rPr>
                <w:sz w:val="20"/>
                <w:szCs w:val="20"/>
                <w:color w:val="auto"/>
              </w:rPr>
            </w:pPr>
            <w:r>
              <w:rPr>
                <w:rFonts w:ascii="Arial" w:cs="Arial" w:eastAsia="Arial" w:hAnsi="Arial"/>
                <w:sz w:val="12"/>
                <w:szCs w:val="12"/>
                <w:color w:val="auto"/>
              </w:rPr>
              <w:t>4,983</w:t>
            </w:r>
          </w:p>
        </w:tc>
      </w:tr>
      <w:tr>
        <w:trPr>
          <w:trHeight w:val="137"/>
        </w:trPr>
        <w:tc>
          <w:tcPr>
            <w:tcW w:w="2300" w:type="dxa"/>
            <w:vAlign w:val="bottom"/>
          </w:tcPr>
          <w:p>
            <w:pPr>
              <w:spacing w:after="0"/>
              <w:rPr>
                <w:sz w:val="11"/>
                <w:szCs w:val="11"/>
                <w:color w:val="auto"/>
              </w:rPr>
            </w:pPr>
          </w:p>
        </w:tc>
        <w:tc>
          <w:tcPr>
            <w:tcW w:w="2460" w:type="dxa"/>
            <w:vAlign w:val="bottom"/>
          </w:tcPr>
          <w:p>
            <w:pPr>
              <w:jc w:val="right"/>
              <w:ind w:right="958"/>
              <w:spacing w:after="0" w:line="137" w:lineRule="exact"/>
              <w:rPr>
                <w:sz w:val="20"/>
                <w:szCs w:val="20"/>
                <w:color w:val="auto"/>
              </w:rPr>
            </w:pPr>
            <w:r>
              <w:rPr>
                <w:rFonts w:ascii="Arial" w:cs="Arial" w:eastAsia="Arial" w:hAnsi="Arial"/>
                <w:sz w:val="12"/>
                <w:szCs w:val="12"/>
                <w:color w:val="auto"/>
              </w:rPr>
              <w:t>4,018</w:t>
            </w:r>
          </w:p>
        </w:tc>
        <w:tc>
          <w:tcPr>
            <w:tcW w:w="460" w:type="dxa"/>
            <w:vAlign w:val="bottom"/>
          </w:tcPr>
          <w:p>
            <w:pPr>
              <w:spacing w:after="0"/>
              <w:rPr>
                <w:sz w:val="11"/>
                <w:szCs w:val="11"/>
                <w:color w:val="auto"/>
              </w:rPr>
            </w:pPr>
          </w:p>
        </w:tc>
        <w:tc>
          <w:tcPr>
            <w:tcW w:w="1460" w:type="dxa"/>
            <w:vAlign w:val="bottom"/>
          </w:tcPr>
          <w:p>
            <w:pPr>
              <w:jc w:val="center"/>
              <w:ind w:right="198"/>
              <w:spacing w:after="0" w:line="137" w:lineRule="exact"/>
              <w:rPr>
                <w:sz w:val="20"/>
                <w:szCs w:val="20"/>
                <w:color w:val="auto"/>
              </w:rPr>
            </w:pPr>
            <w:r>
              <w:rPr>
                <w:rFonts w:ascii="Arial" w:cs="Arial" w:eastAsia="Arial" w:hAnsi="Arial"/>
                <w:sz w:val="12"/>
                <w:szCs w:val="12"/>
                <w:color w:val="auto"/>
                <w:w w:val="87"/>
              </w:rPr>
              <w:t>0.0%</w:t>
            </w:r>
          </w:p>
        </w:tc>
        <w:tc>
          <w:tcPr>
            <w:tcW w:w="320" w:type="dxa"/>
            <w:vAlign w:val="bottom"/>
          </w:tcPr>
          <w:p>
            <w:pPr>
              <w:spacing w:after="0"/>
              <w:rPr>
                <w:sz w:val="11"/>
                <w:szCs w:val="11"/>
                <w:color w:val="auto"/>
              </w:rPr>
            </w:pPr>
          </w:p>
        </w:tc>
        <w:tc>
          <w:tcPr>
            <w:tcW w:w="1280" w:type="dxa"/>
            <w:vAlign w:val="bottom"/>
          </w:tcPr>
          <w:p>
            <w:pPr>
              <w:jc w:val="center"/>
              <w:spacing w:after="0" w:line="137" w:lineRule="exact"/>
              <w:rPr>
                <w:sz w:val="20"/>
                <w:szCs w:val="20"/>
                <w:color w:val="auto"/>
              </w:rPr>
            </w:pPr>
            <w:r>
              <w:rPr>
                <w:rFonts w:ascii="Arial" w:cs="Arial" w:eastAsia="Arial" w:hAnsi="Arial"/>
                <w:sz w:val="12"/>
                <w:szCs w:val="12"/>
                <w:color w:val="auto"/>
                <w:w w:val="93"/>
              </w:rPr>
              <w:t>50.95</w:t>
            </w:r>
          </w:p>
        </w:tc>
        <w:tc>
          <w:tcPr>
            <w:tcW w:w="1040" w:type="dxa"/>
            <w:vAlign w:val="bottom"/>
          </w:tcPr>
          <w:p>
            <w:pPr>
              <w:jc w:val="center"/>
              <w:ind w:left="98"/>
              <w:spacing w:after="0" w:line="137" w:lineRule="exact"/>
              <w:rPr>
                <w:sz w:val="20"/>
                <w:szCs w:val="20"/>
                <w:color w:val="auto"/>
              </w:rPr>
            </w:pPr>
            <w:r>
              <w:rPr>
                <w:rFonts w:ascii="Arial" w:cs="Arial" w:eastAsia="Arial" w:hAnsi="Arial"/>
                <w:sz w:val="12"/>
                <w:szCs w:val="12"/>
                <w:color w:val="auto"/>
                <w:w w:val="94"/>
              </w:rPr>
              <w:t>06/04/02</w:t>
            </w:r>
          </w:p>
        </w:tc>
        <w:tc>
          <w:tcPr>
            <w:tcW w:w="2200" w:type="dxa"/>
            <w:vAlign w:val="bottom"/>
            <w:gridSpan w:val="2"/>
          </w:tcPr>
          <w:p>
            <w:pPr>
              <w:jc w:val="right"/>
              <w:ind w:right="398"/>
              <w:spacing w:after="0" w:line="137" w:lineRule="exact"/>
              <w:rPr>
                <w:sz w:val="20"/>
                <w:szCs w:val="20"/>
                <w:color w:val="auto"/>
              </w:rPr>
            </w:pPr>
            <w:r>
              <w:rPr>
                <w:rFonts w:ascii="Arial" w:cs="Arial" w:eastAsia="Arial" w:hAnsi="Arial"/>
                <w:sz w:val="12"/>
                <w:szCs w:val="12"/>
                <w:color w:val="auto"/>
              </w:rPr>
              <w:t>10,236</w:t>
            </w:r>
          </w:p>
        </w:tc>
      </w:tr>
      <w:tr>
        <w:trPr>
          <w:trHeight w:val="137"/>
        </w:trPr>
        <w:tc>
          <w:tcPr>
            <w:tcW w:w="2300" w:type="dxa"/>
            <w:vAlign w:val="bottom"/>
          </w:tcPr>
          <w:p>
            <w:pPr>
              <w:spacing w:after="0"/>
              <w:rPr>
                <w:sz w:val="11"/>
                <w:szCs w:val="11"/>
                <w:color w:val="auto"/>
              </w:rPr>
            </w:pPr>
          </w:p>
        </w:tc>
        <w:tc>
          <w:tcPr>
            <w:tcW w:w="2460" w:type="dxa"/>
            <w:vAlign w:val="bottom"/>
          </w:tcPr>
          <w:p>
            <w:pPr>
              <w:jc w:val="right"/>
              <w:ind w:right="978"/>
              <w:spacing w:after="0" w:line="137" w:lineRule="exact"/>
              <w:rPr>
                <w:sz w:val="20"/>
                <w:szCs w:val="20"/>
                <w:color w:val="auto"/>
              </w:rPr>
            </w:pPr>
            <w:r>
              <w:rPr>
                <w:rFonts w:ascii="Arial" w:cs="Arial" w:eastAsia="Arial" w:hAnsi="Arial"/>
                <w:sz w:val="12"/>
                <w:szCs w:val="12"/>
                <w:color w:val="auto"/>
              </w:rPr>
              <w:t>15,719</w:t>
            </w:r>
          </w:p>
        </w:tc>
        <w:tc>
          <w:tcPr>
            <w:tcW w:w="460" w:type="dxa"/>
            <w:vAlign w:val="bottom"/>
          </w:tcPr>
          <w:p>
            <w:pPr>
              <w:spacing w:after="0"/>
              <w:rPr>
                <w:sz w:val="11"/>
                <w:szCs w:val="11"/>
                <w:color w:val="auto"/>
              </w:rPr>
            </w:pPr>
          </w:p>
        </w:tc>
        <w:tc>
          <w:tcPr>
            <w:tcW w:w="1460" w:type="dxa"/>
            <w:vAlign w:val="bottom"/>
          </w:tcPr>
          <w:p>
            <w:pPr>
              <w:jc w:val="center"/>
              <w:ind w:right="198"/>
              <w:spacing w:after="0" w:line="137" w:lineRule="exact"/>
              <w:rPr>
                <w:sz w:val="20"/>
                <w:szCs w:val="20"/>
                <w:color w:val="auto"/>
              </w:rPr>
            </w:pPr>
            <w:r>
              <w:rPr>
                <w:rFonts w:ascii="Arial" w:cs="Arial" w:eastAsia="Arial" w:hAnsi="Arial"/>
                <w:sz w:val="12"/>
                <w:szCs w:val="12"/>
                <w:color w:val="auto"/>
                <w:w w:val="87"/>
              </w:rPr>
              <w:t>0.1%</w:t>
            </w:r>
          </w:p>
        </w:tc>
        <w:tc>
          <w:tcPr>
            <w:tcW w:w="320" w:type="dxa"/>
            <w:vAlign w:val="bottom"/>
          </w:tcPr>
          <w:p>
            <w:pPr>
              <w:spacing w:after="0"/>
              <w:rPr>
                <w:sz w:val="11"/>
                <w:szCs w:val="11"/>
                <w:color w:val="auto"/>
              </w:rPr>
            </w:pPr>
          </w:p>
        </w:tc>
        <w:tc>
          <w:tcPr>
            <w:tcW w:w="1280" w:type="dxa"/>
            <w:vAlign w:val="bottom"/>
          </w:tcPr>
          <w:p>
            <w:pPr>
              <w:jc w:val="center"/>
              <w:spacing w:after="0" w:line="137" w:lineRule="exact"/>
              <w:rPr>
                <w:sz w:val="20"/>
                <w:szCs w:val="20"/>
                <w:color w:val="auto"/>
              </w:rPr>
            </w:pPr>
            <w:r>
              <w:rPr>
                <w:rFonts w:ascii="Arial" w:cs="Arial" w:eastAsia="Arial" w:hAnsi="Arial"/>
                <w:sz w:val="12"/>
                <w:szCs w:val="12"/>
                <w:color w:val="auto"/>
                <w:w w:val="93"/>
              </w:rPr>
              <w:t>50.95</w:t>
            </w:r>
          </w:p>
        </w:tc>
        <w:tc>
          <w:tcPr>
            <w:tcW w:w="1040" w:type="dxa"/>
            <w:vAlign w:val="bottom"/>
          </w:tcPr>
          <w:p>
            <w:pPr>
              <w:jc w:val="center"/>
              <w:ind w:left="98"/>
              <w:spacing w:after="0" w:line="137" w:lineRule="exact"/>
              <w:rPr>
                <w:sz w:val="20"/>
                <w:szCs w:val="20"/>
                <w:color w:val="auto"/>
              </w:rPr>
            </w:pPr>
            <w:r>
              <w:rPr>
                <w:rFonts w:ascii="Arial" w:cs="Arial" w:eastAsia="Arial" w:hAnsi="Arial"/>
                <w:sz w:val="12"/>
                <w:szCs w:val="12"/>
                <w:color w:val="auto"/>
                <w:w w:val="94"/>
              </w:rPr>
              <w:t>04/15/03</w:t>
            </w:r>
          </w:p>
        </w:tc>
        <w:tc>
          <w:tcPr>
            <w:tcW w:w="2200" w:type="dxa"/>
            <w:vAlign w:val="bottom"/>
            <w:gridSpan w:val="2"/>
          </w:tcPr>
          <w:p>
            <w:pPr>
              <w:jc w:val="right"/>
              <w:ind w:right="398"/>
              <w:spacing w:after="0" w:line="137" w:lineRule="exact"/>
              <w:rPr>
                <w:sz w:val="20"/>
                <w:szCs w:val="20"/>
                <w:color w:val="auto"/>
              </w:rPr>
            </w:pPr>
            <w:r>
              <w:rPr>
                <w:rFonts w:ascii="Arial" w:cs="Arial" w:eastAsia="Arial" w:hAnsi="Arial"/>
                <w:sz w:val="12"/>
                <w:szCs w:val="12"/>
                <w:color w:val="auto"/>
              </w:rPr>
              <w:t>73,681</w:t>
            </w:r>
          </w:p>
        </w:tc>
      </w:tr>
      <w:tr>
        <w:trPr>
          <w:trHeight w:val="137"/>
        </w:trPr>
        <w:tc>
          <w:tcPr>
            <w:tcW w:w="2300" w:type="dxa"/>
            <w:vAlign w:val="bottom"/>
          </w:tcPr>
          <w:p>
            <w:pPr>
              <w:spacing w:after="0"/>
              <w:rPr>
                <w:sz w:val="11"/>
                <w:szCs w:val="11"/>
                <w:color w:val="auto"/>
              </w:rPr>
            </w:pPr>
          </w:p>
        </w:tc>
        <w:tc>
          <w:tcPr>
            <w:tcW w:w="2460" w:type="dxa"/>
            <w:vAlign w:val="bottom"/>
          </w:tcPr>
          <w:p>
            <w:pPr>
              <w:jc w:val="right"/>
              <w:ind w:right="978"/>
              <w:spacing w:after="0" w:line="137" w:lineRule="exact"/>
              <w:rPr>
                <w:sz w:val="20"/>
                <w:szCs w:val="20"/>
                <w:color w:val="auto"/>
              </w:rPr>
            </w:pPr>
            <w:r>
              <w:rPr>
                <w:rFonts w:ascii="Arial" w:cs="Arial" w:eastAsia="Arial" w:hAnsi="Arial"/>
                <w:sz w:val="12"/>
                <w:szCs w:val="12"/>
                <w:color w:val="auto"/>
              </w:rPr>
              <w:t>7,353</w:t>
            </w:r>
          </w:p>
        </w:tc>
        <w:tc>
          <w:tcPr>
            <w:tcW w:w="460" w:type="dxa"/>
            <w:vAlign w:val="bottom"/>
          </w:tcPr>
          <w:p>
            <w:pPr>
              <w:spacing w:after="0"/>
              <w:rPr>
                <w:sz w:val="11"/>
                <w:szCs w:val="11"/>
                <w:color w:val="auto"/>
              </w:rPr>
            </w:pPr>
          </w:p>
        </w:tc>
        <w:tc>
          <w:tcPr>
            <w:tcW w:w="1460" w:type="dxa"/>
            <w:vAlign w:val="bottom"/>
          </w:tcPr>
          <w:p>
            <w:pPr>
              <w:jc w:val="center"/>
              <w:ind w:right="198"/>
              <w:spacing w:after="0" w:line="137" w:lineRule="exact"/>
              <w:rPr>
                <w:sz w:val="20"/>
                <w:szCs w:val="20"/>
                <w:color w:val="auto"/>
              </w:rPr>
            </w:pPr>
            <w:r>
              <w:rPr>
                <w:rFonts w:ascii="Arial" w:cs="Arial" w:eastAsia="Arial" w:hAnsi="Arial"/>
                <w:sz w:val="12"/>
                <w:szCs w:val="12"/>
                <w:color w:val="auto"/>
                <w:w w:val="87"/>
              </w:rPr>
              <w:t>0.0%</w:t>
            </w:r>
          </w:p>
        </w:tc>
        <w:tc>
          <w:tcPr>
            <w:tcW w:w="320" w:type="dxa"/>
            <w:vAlign w:val="bottom"/>
          </w:tcPr>
          <w:p>
            <w:pPr>
              <w:spacing w:after="0"/>
              <w:rPr>
                <w:sz w:val="11"/>
                <w:szCs w:val="11"/>
                <w:color w:val="auto"/>
              </w:rPr>
            </w:pPr>
          </w:p>
        </w:tc>
        <w:tc>
          <w:tcPr>
            <w:tcW w:w="1280" w:type="dxa"/>
            <w:vAlign w:val="bottom"/>
          </w:tcPr>
          <w:p>
            <w:pPr>
              <w:jc w:val="center"/>
              <w:spacing w:after="0" w:line="137" w:lineRule="exact"/>
              <w:rPr>
                <w:sz w:val="20"/>
                <w:szCs w:val="20"/>
                <w:color w:val="auto"/>
              </w:rPr>
            </w:pPr>
            <w:r>
              <w:rPr>
                <w:rFonts w:ascii="Arial" w:cs="Arial" w:eastAsia="Arial" w:hAnsi="Arial"/>
                <w:sz w:val="12"/>
                <w:szCs w:val="12"/>
                <w:color w:val="auto"/>
                <w:w w:val="93"/>
              </w:rPr>
              <w:t>50.95</w:t>
            </w:r>
          </w:p>
        </w:tc>
        <w:tc>
          <w:tcPr>
            <w:tcW w:w="1040" w:type="dxa"/>
            <w:vAlign w:val="bottom"/>
          </w:tcPr>
          <w:p>
            <w:pPr>
              <w:jc w:val="center"/>
              <w:ind w:left="98"/>
              <w:spacing w:after="0" w:line="137" w:lineRule="exact"/>
              <w:rPr>
                <w:sz w:val="20"/>
                <w:szCs w:val="20"/>
                <w:color w:val="auto"/>
              </w:rPr>
            </w:pPr>
            <w:r>
              <w:rPr>
                <w:rFonts w:ascii="Arial" w:cs="Arial" w:eastAsia="Arial" w:hAnsi="Arial"/>
                <w:sz w:val="12"/>
                <w:szCs w:val="12"/>
                <w:color w:val="auto"/>
                <w:w w:val="94"/>
              </w:rPr>
              <w:t>06/30/04</w:t>
            </w:r>
          </w:p>
        </w:tc>
        <w:tc>
          <w:tcPr>
            <w:tcW w:w="2200" w:type="dxa"/>
            <w:vAlign w:val="bottom"/>
            <w:gridSpan w:val="2"/>
          </w:tcPr>
          <w:p>
            <w:pPr>
              <w:jc w:val="right"/>
              <w:ind w:right="398"/>
              <w:spacing w:after="0" w:line="137" w:lineRule="exact"/>
              <w:rPr>
                <w:sz w:val="20"/>
                <w:szCs w:val="20"/>
                <w:color w:val="auto"/>
              </w:rPr>
            </w:pPr>
            <w:r>
              <w:rPr>
                <w:rFonts w:ascii="Arial" w:cs="Arial" w:eastAsia="Arial" w:hAnsi="Arial"/>
                <w:sz w:val="12"/>
                <w:szCs w:val="12"/>
                <w:color w:val="auto"/>
              </w:rPr>
              <w:t>61,220</w:t>
            </w:r>
          </w:p>
        </w:tc>
      </w:tr>
      <w:tr>
        <w:trPr>
          <w:trHeight w:val="137"/>
        </w:trPr>
        <w:tc>
          <w:tcPr>
            <w:tcW w:w="2300" w:type="dxa"/>
            <w:vAlign w:val="bottom"/>
          </w:tcPr>
          <w:p>
            <w:pPr>
              <w:spacing w:after="0"/>
              <w:rPr>
                <w:sz w:val="11"/>
                <w:szCs w:val="11"/>
                <w:color w:val="auto"/>
              </w:rPr>
            </w:pPr>
          </w:p>
        </w:tc>
        <w:tc>
          <w:tcPr>
            <w:tcW w:w="2460" w:type="dxa"/>
            <w:vAlign w:val="bottom"/>
          </w:tcPr>
          <w:p>
            <w:pPr>
              <w:jc w:val="right"/>
              <w:ind w:right="978"/>
              <w:spacing w:after="0" w:line="137" w:lineRule="exact"/>
              <w:rPr>
                <w:sz w:val="20"/>
                <w:szCs w:val="20"/>
                <w:color w:val="auto"/>
              </w:rPr>
            </w:pPr>
            <w:r>
              <w:rPr>
                <w:rFonts w:ascii="Arial" w:cs="Arial" w:eastAsia="Arial" w:hAnsi="Arial"/>
                <w:sz w:val="12"/>
                <w:szCs w:val="12"/>
                <w:color w:val="auto"/>
              </w:rPr>
              <w:t>35,719</w:t>
            </w:r>
          </w:p>
        </w:tc>
        <w:tc>
          <w:tcPr>
            <w:tcW w:w="460" w:type="dxa"/>
            <w:vAlign w:val="bottom"/>
          </w:tcPr>
          <w:p>
            <w:pPr>
              <w:spacing w:after="0"/>
              <w:rPr>
                <w:sz w:val="11"/>
                <w:szCs w:val="11"/>
                <w:color w:val="auto"/>
              </w:rPr>
            </w:pPr>
          </w:p>
        </w:tc>
        <w:tc>
          <w:tcPr>
            <w:tcW w:w="1460" w:type="dxa"/>
            <w:vAlign w:val="bottom"/>
          </w:tcPr>
          <w:p>
            <w:pPr>
              <w:jc w:val="center"/>
              <w:ind w:right="198"/>
              <w:spacing w:after="0" w:line="137" w:lineRule="exact"/>
              <w:rPr>
                <w:sz w:val="20"/>
                <w:szCs w:val="20"/>
                <w:color w:val="auto"/>
              </w:rPr>
            </w:pPr>
            <w:r>
              <w:rPr>
                <w:rFonts w:ascii="Arial" w:cs="Arial" w:eastAsia="Arial" w:hAnsi="Arial"/>
                <w:sz w:val="12"/>
                <w:szCs w:val="12"/>
                <w:color w:val="auto"/>
                <w:w w:val="87"/>
              </w:rPr>
              <w:t>0.2%</w:t>
            </w:r>
          </w:p>
        </w:tc>
        <w:tc>
          <w:tcPr>
            <w:tcW w:w="320" w:type="dxa"/>
            <w:vAlign w:val="bottom"/>
          </w:tcPr>
          <w:p>
            <w:pPr>
              <w:spacing w:after="0"/>
              <w:rPr>
                <w:sz w:val="11"/>
                <w:szCs w:val="11"/>
                <w:color w:val="auto"/>
              </w:rPr>
            </w:pPr>
          </w:p>
        </w:tc>
        <w:tc>
          <w:tcPr>
            <w:tcW w:w="1280" w:type="dxa"/>
            <w:vAlign w:val="bottom"/>
          </w:tcPr>
          <w:p>
            <w:pPr>
              <w:jc w:val="center"/>
              <w:spacing w:after="0" w:line="137" w:lineRule="exact"/>
              <w:rPr>
                <w:sz w:val="20"/>
                <w:szCs w:val="20"/>
                <w:color w:val="auto"/>
              </w:rPr>
            </w:pPr>
            <w:r>
              <w:rPr>
                <w:rFonts w:ascii="Arial" w:cs="Arial" w:eastAsia="Arial" w:hAnsi="Arial"/>
                <w:sz w:val="12"/>
                <w:szCs w:val="12"/>
                <w:color w:val="auto"/>
                <w:w w:val="93"/>
              </w:rPr>
              <w:t>50.95</w:t>
            </w:r>
          </w:p>
        </w:tc>
        <w:tc>
          <w:tcPr>
            <w:tcW w:w="1040" w:type="dxa"/>
            <w:vAlign w:val="bottom"/>
          </w:tcPr>
          <w:p>
            <w:pPr>
              <w:jc w:val="center"/>
              <w:ind w:left="98"/>
              <w:spacing w:after="0" w:line="137" w:lineRule="exact"/>
              <w:rPr>
                <w:sz w:val="20"/>
                <w:szCs w:val="20"/>
                <w:color w:val="auto"/>
              </w:rPr>
            </w:pPr>
            <w:r>
              <w:rPr>
                <w:rFonts w:ascii="Arial" w:cs="Arial" w:eastAsia="Arial" w:hAnsi="Arial"/>
                <w:sz w:val="12"/>
                <w:szCs w:val="12"/>
                <w:color w:val="auto"/>
                <w:w w:val="94"/>
              </w:rPr>
              <w:t>02/13/07</w:t>
            </w:r>
          </w:p>
        </w:tc>
        <w:tc>
          <w:tcPr>
            <w:tcW w:w="2200" w:type="dxa"/>
            <w:vAlign w:val="bottom"/>
            <w:gridSpan w:val="2"/>
          </w:tcPr>
          <w:p>
            <w:pPr>
              <w:jc w:val="right"/>
              <w:ind w:right="398"/>
              <w:spacing w:after="0" w:line="137" w:lineRule="exact"/>
              <w:rPr>
                <w:sz w:val="20"/>
                <w:szCs w:val="20"/>
                <w:color w:val="auto"/>
              </w:rPr>
            </w:pPr>
            <w:r>
              <w:rPr>
                <w:rFonts w:ascii="Arial" w:cs="Arial" w:eastAsia="Arial" w:hAnsi="Arial"/>
                <w:sz w:val="12"/>
                <w:szCs w:val="12"/>
                <w:color w:val="auto"/>
              </w:rPr>
              <w:t>584,094</w:t>
            </w:r>
          </w:p>
        </w:tc>
      </w:tr>
      <w:tr>
        <w:trPr>
          <w:trHeight w:val="137"/>
        </w:trPr>
        <w:tc>
          <w:tcPr>
            <w:tcW w:w="2300" w:type="dxa"/>
            <w:vAlign w:val="bottom"/>
          </w:tcPr>
          <w:p>
            <w:pPr>
              <w:spacing w:after="0"/>
              <w:rPr>
                <w:sz w:val="11"/>
                <w:szCs w:val="11"/>
                <w:color w:val="auto"/>
              </w:rPr>
            </w:pPr>
          </w:p>
        </w:tc>
        <w:tc>
          <w:tcPr>
            <w:tcW w:w="2460" w:type="dxa"/>
            <w:vAlign w:val="bottom"/>
          </w:tcPr>
          <w:p>
            <w:pPr>
              <w:jc w:val="right"/>
              <w:ind w:right="978"/>
              <w:spacing w:after="0" w:line="137" w:lineRule="exact"/>
              <w:rPr>
                <w:sz w:val="20"/>
                <w:szCs w:val="20"/>
                <w:color w:val="auto"/>
              </w:rPr>
            </w:pPr>
            <w:r>
              <w:rPr>
                <w:rFonts w:ascii="Arial" w:cs="Arial" w:eastAsia="Arial" w:hAnsi="Arial"/>
                <w:sz w:val="12"/>
                <w:szCs w:val="12"/>
                <w:color w:val="auto"/>
              </w:rPr>
              <w:t>34,816</w:t>
            </w:r>
          </w:p>
        </w:tc>
        <w:tc>
          <w:tcPr>
            <w:tcW w:w="460" w:type="dxa"/>
            <w:vAlign w:val="bottom"/>
          </w:tcPr>
          <w:p>
            <w:pPr>
              <w:spacing w:after="0"/>
              <w:rPr>
                <w:sz w:val="11"/>
                <w:szCs w:val="11"/>
                <w:color w:val="auto"/>
              </w:rPr>
            </w:pPr>
          </w:p>
        </w:tc>
        <w:tc>
          <w:tcPr>
            <w:tcW w:w="1460" w:type="dxa"/>
            <w:vAlign w:val="bottom"/>
          </w:tcPr>
          <w:p>
            <w:pPr>
              <w:jc w:val="center"/>
              <w:ind w:right="198"/>
              <w:spacing w:after="0" w:line="137" w:lineRule="exact"/>
              <w:rPr>
                <w:sz w:val="20"/>
                <w:szCs w:val="20"/>
                <w:color w:val="auto"/>
              </w:rPr>
            </w:pPr>
            <w:r>
              <w:rPr>
                <w:rFonts w:ascii="Arial" w:cs="Arial" w:eastAsia="Arial" w:hAnsi="Arial"/>
                <w:sz w:val="12"/>
                <w:szCs w:val="12"/>
                <w:color w:val="auto"/>
                <w:w w:val="87"/>
              </w:rPr>
              <w:t>0.2%</w:t>
            </w:r>
          </w:p>
        </w:tc>
        <w:tc>
          <w:tcPr>
            <w:tcW w:w="320" w:type="dxa"/>
            <w:vAlign w:val="bottom"/>
          </w:tcPr>
          <w:p>
            <w:pPr>
              <w:spacing w:after="0"/>
              <w:rPr>
                <w:sz w:val="11"/>
                <w:szCs w:val="11"/>
                <w:color w:val="auto"/>
              </w:rPr>
            </w:pPr>
          </w:p>
        </w:tc>
        <w:tc>
          <w:tcPr>
            <w:tcW w:w="1280" w:type="dxa"/>
            <w:vAlign w:val="bottom"/>
          </w:tcPr>
          <w:p>
            <w:pPr>
              <w:jc w:val="center"/>
              <w:spacing w:after="0" w:line="137" w:lineRule="exact"/>
              <w:rPr>
                <w:sz w:val="20"/>
                <w:szCs w:val="20"/>
                <w:color w:val="auto"/>
              </w:rPr>
            </w:pPr>
            <w:r>
              <w:rPr>
                <w:rFonts w:ascii="Arial" w:cs="Arial" w:eastAsia="Arial" w:hAnsi="Arial"/>
                <w:sz w:val="12"/>
                <w:szCs w:val="12"/>
                <w:color w:val="auto"/>
                <w:w w:val="93"/>
              </w:rPr>
              <w:t>50.95</w:t>
            </w:r>
          </w:p>
        </w:tc>
        <w:tc>
          <w:tcPr>
            <w:tcW w:w="1040" w:type="dxa"/>
            <w:vAlign w:val="bottom"/>
          </w:tcPr>
          <w:p>
            <w:pPr>
              <w:jc w:val="center"/>
              <w:ind w:left="98"/>
              <w:spacing w:after="0" w:line="137" w:lineRule="exact"/>
              <w:rPr>
                <w:sz w:val="20"/>
                <w:szCs w:val="20"/>
                <w:color w:val="auto"/>
              </w:rPr>
            </w:pPr>
            <w:r>
              <w:rPr>
                <w:rFonts w:ascii="Arial" w:cs="Arial" w:eastAsia="Arial" w:hAnsi="Arial"/>
                <w:sz w:val="12"/>
                <w:szCs w:val="12"/>
                <w:color w:val="auto"/>
                <w:w w:val="94"/>
              </w:rPr>
              <w:t>02/12/08</w:t>
            </w:r>
          </w:p>
        </w:tc>
        <w:tc>
          <w:tcPr>
            <w:tcW w:w="2200" w:type="dxa"/>
            <w:vAlign w:val="bottom"/>
            <w:gridSpan w:val="2"/>
          </w:tcPr>
          <w:p>
            <w:pPr>
              <w:jc w:val="right"/>
              <w:ind w:right="398"/>
              <w:spacing w:after="0" w:line="137" w:lineRule="exact"/>
              <w:rPr>
                <w:sz w:val="20"/>
                <w:szCs w:val="20"/>
                <w:color w:val="auto"/>
              </w:rPr>
            </w:pPr>
            <w:r>
              <w:rPr>
                <w:rFonts w:ascii="Arial" w:cs="Arial" w:eastAsia="Arial" w:hAnsi="Arial"/>
                <w:sz w:val="12"/>
                <w:szCs w:val="12"/>
                <w:color w:val="auto"/>
              </w:rPr>
              <w:t>686,488</w:t>
            </w:r>
          </w:p>
        </w:tc>
      </w:tr>
      <w:tr>
        <w:trPr>
          <w:trHeight w:val="157"/>
        </w:trPr>
        <w:tc>
          <w:tcPr>
            <w:tcW w:w="2300" w:type="dxa"/>
            <w:vAlign w:val="bottom"/>
          </w:tcPr>
          <w:p>
            <w:pPr>
              <w:spacing w:after="0"/>
              <w:rPr>
                <w:sz w:val="13"/>
                <w:szCs w:val="13"/>
                <w:color w:val="auto"/>
              </w:rPr>
            </w:pPr>
          </w:p>
        </w:tc>
        <w:tc>
          <w:tcPr>
            <w:tcW w:w="2460" w:type="dxa"/>
            <w:vAlign w:val="bottom"/>
          </w:tcPr>
          <w:p>
            <w:pPr>
              <w:jc w:val="right"/>
              <w:ind w:right="978"/>
              <w:spacing w:after="0"/>
              <w:rPr>
                <w:sz w:val="20"/>
                <w:szCs w:val="20"/>
                <w:color w:val="auto"/>
              </w:rPr>
            </w:pPr>
            <w:r>
              <w:rPr>
                <w:rFonts w:ascii="Arial" w:cs="Arial" w:eastAsia="Arial" w:hAnsi="Arial"/>
                <w:sz w:val="12"/>
                <w:szCs w:val="12"/>
                <w:color w:val="auto"/>
              </w:rPr>
              <w:t>123,232</w:t>
            </w:r>
          </w:p>
        </w:tc>
        <w:tc>
          <w:tcPr>
            <w:tcW w:w="460" w:type="dxa"/>
            <w:vAlign w:val="bottom"/>
          </w:tcPr>
          <w:p>
            <w:pPr>
              <w:spacing w:after="0"/>
              <w:rPr>
                <w:sz w:val="13"/>
                <w:szCs w:val="13"/>
                <w:color w:val="auto"/>
              </w:rPr>
            </w:pPr>
          </w:p>
        </w:tc>
        <w:tc>
          <w:tcPr>
            <w:tcW w:w="1460" w:type="dxa"/>
            <w:vAlign w:val="bottom"/>
          </w:tcPr>
          <w:p>
            <w:pPr>
              <w:jc w:val="center"/>
              <w:ind w:right="198"/>
              <w:spacing w:after="0"/>
              <w:rPr>
                <w:sz w:val="20"/>
                <w:szCs w:val="20"/>
                <w:color w:val="auto"/>
              </w:rPr>
            </w:pPr>
            <w:r>
              <w:rPr>
                <w:rFonts w:ascii="Arial" w:cs="Arial" w:eastAsia="Arial" w:hAnsi="Arial"/>
                <w:sz w:val="12"/>
                <w:szCs w:val="12"/>
                <w:color w:val="auto"/>
                <w:w w:val="87"/>
              </w:rPr>
              <w:t>0.5%</w:t>
            </w:r>
          </w:p>
        </w:tc>
        <w:tc>
          <w:tcPr>
            <w:tcW w:w="3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93"/>
              </w:rPr>
              <w:t>50.95</w:t>
            </w:r>
          </w:p>
        </w:tc>
        <w:tc>
          <w:tcPr>
            <w:tcW w:w="1040" w:type="dxa"/>
            <w:vAlign w:val="bottom"/>
          </w:tcPr>
          <w:p>
            <w:pPr>
              <w:jc w:val="center"/>
              <w:ind w:left="98"/>
              <w:spacing w:after="0"/>
              <w:rPr>
                <w:sz w:val="20"/>
                <w:szCs w:val="20"/>
                <w:color w:val="auto"/>
              </w:rPr>
            </w:pPr>
            <w:r>
              <w:rPr>
                <w:rFonts w:ascii="Arial" w:cs="Arial" w:eastAsia="Arial" w:hAnsi="Arial"/>
                <w:sz w:val="12"/>
                <w:szCs w:val="12"/>
                <w:color w:val="auto"/>
                <w:w w:val="94"/>
              </w:rPr>
              <w:t>02/10/10</w:t>
            </w:r>
          </w:p>
        </w:tc>
        <w:tc>
          <w:tcPr>
            <w:tcW w:w="2200" w:type="dxa"/>
            <w:vAlign w:val="bottom"/>
            <w:gridSpan w:val="2"/>
          </w:tcPr>
          <w:p>
            <w:pPr>
              <w:jc w:val="right"/>
              <w:ind w:right="398"/>
              <w:spacing w:after="0"/>
              <w:rPr>
                <w:sz w:val="20"/>
                <w:szCs w:val="20"/>
                <w:color w:val="auto"/>
              </w:rPr>
            </w:pPr>
            <w:r>
              <w:rPr>
                <w:rFonts w:ascii="Arial" w:cs="Arial" w:eastAsia="Arial" w:hAnsi="Arial"/>
                <w:sz w:val="12"/>
                <w:szCs w:val="12"/>
                <w:color w:val="auto"/>
              </w:rPr>
              <w:t>3,322,461</w:t>
            </w:r>
          </w:p>
        </w:tc>
      </w:tr>
      <w:tr>
        <w:trPr>
          <w:trHeight w:val="97"/>
        </w:trPr>
        <w:tc>
          <w:tcPr>
            <w:tcW w:w="2300" w:type="dxa"/>
            <w:vAlign w:val="bottom"/>
            <w:tcBorders>
              <w:bottom w:val="single" w:sz="8" w:color="808080"/>
            </w:tcBorders>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0" w:type="dxa"/>
            <w:vAlign w:val="bottom"/>
            <w:tcBorders>
              <w:bottom w:val="single" w:sz="8" w:color="808080"/>
            </w:tcBorders>
            <w:gridSpan w:val="2"/>
          </w:tcPr>
          <w:p>
            <w:pPr>
              <w:spacing w:after="0"/>
              <w:rPr>
                <w:sz w:val="8"/>
                <w:szCs w:val="8"/>
                <w:color w:val="auto"/>
              </w:rPr>
            </w:pPr>
          </w:p>
        </w:tc>
      </w:tr>
      <w:tr>
        <w:trPr>
          <w:trHeight w:val="223"/>
        </w:trPr>
        <w:tc>
          <w:tcPr>
            <w:tcW w:w="2300" w:type="dxa"/>
            <w:vAlign w:val="bottom"/>
          </w:tcPr>
          <w:p>
            <w:pPr>
              <w:spacing w:after="0"/>
              <w:rPr>
                <w:sz w:val="20"/>
                <w:szCs w:val="20"/>
                <w:color w:val="auto"/>
              </w:rPr>
            </w:pPr>
            <w:r>
              <w:rPr>
                <w:rFonts w:ascii="Arial" w:cs="Arial" w:eastAsia="Arial" w:hAnsi="Arial"/>
                <w:sz w:val="12"/>
                <w:szCs w:val="12"/>
                <w:color w:val="auto"/>
              </w:rPr>
              <w:t>Richard A. Gonzalez</w:t>
            </w:r>
          </w:p>
        </w:tc>
        <w:tc>
          <w:tcPr>
            <w:tcW w:w="2460" w:type="dxa"/>
            <w:vAlign w:val="bottom"/>
          </w:tcPr>
          <w:p>
            <w:pPr>
              <w:jc w:val="right"/>
              <w:ind w:right="818"/>
              <w:spacing w:after="0"/>
              <w:rPr>
                <w:sz w:val="20"/>
                <w:szCs w:val="20"/>
                <w:color w:val="auto"/>
              </w:rPr>
            </w:pPr>
            <w:r>
              <w:rPr>
                <w:rFonts w:ascii="Arial" w:cs="Arial" w:eastAsia="Arial" w:hAnsi="Arial"/>
                <w:sz w:val="12"/>
                <w:szCs w:val="12"/>
                <w:color w:val="auto"/>
              </w:rPr>
              <w:t>250,000(3)</w:t>
            </w:r>
          </w:p>
        </w:tc>
        <w:tc>
          <w:tcPr>
            <w:tcW w:w="460" w:type="dxa"/>
            <w:vAlign w:val="bottom"/>
          </w:tcPr>
          <w:p>
            <w:pPr>
              <w:spacing w:after="0"/>
              <w:rPr>
                <w:sz w:val="19"/>
                <w:szCs w:val="19"/>
                <w:color w:val="auto"/>
              </w:rPr>
            </w:pPr>
          </w:p>
        </w:tc>
        <w:tc>
          <w:tcPr>
            <w:tcW w:w="1460" w:type="dxa"/>
            <w:vAlign w:val="bottom"/>
          </w:tcPr>
          <w:p>
            <w:pPr>
              <w:jc w:val="center"/>
              <w:ind w:right="198"/>
              <w:spacing w:after="0"/>
              <w:rPr>
                <w:sz w:val="20"/>
                <w:szCs w:val="20"/>
                <w:color w:val="auto"/>
              </w:rPr>
            </w:pPr>
            <w:r>
              <w:rPr>
                <w:rFonts w:ascii="Arial" w:cs="Arial" w:eastAsia="Arial" w:hAnsi="Arial"/>
                <w:sz w:val="12"/>
                <w:szCs w:val="12"/>
                <w:color w:val="auto"/>
                <w:w w:val="87"/>
              </w:rPr>
              <w:t>1.1%</w:t>
            </w:r>
          </w:p>
        </w:tc>
        <w:tc>
          <w:tcPr>
            <w:tcW w:w="3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93"/>
              </w:rPr>
              <w:t>48.36</w:t>
            </w:r>
          </w:p>
        </w:tc>
        <w:tc>
          <w:tcPr>
            <w:tcW w:w="1040" w:type="dxa"/>
            <w:vAlign w:val="bottom"/>
          </w:tcPr>
          <w:p>
            <w:pPr>
              <w:jc w:val="center"/>
              <w:ind w:left="98"/>
              <w:spacing w:after="0"/>
              <w:rPr>
                <w:sz w:val="20"/>
                <w:szCs w:val="20"/>
                <w:color w:val="auto"/>
              </w:rPr>
            </w:pPr>
            <w:r>
              <w:rPr>
                <w:rFonts w:ascii="Arial" w:cs="Arial" w:eastAsia="Arial" w:hAnsi="Arial"/>
                <w:sz w:val="12"/>
                <w:szCs w:val="12"/>
                <w:color w:val="auto"/>
                <w:w w:val="94"/>
              </w:rPr>
              <w:t>02/08/11</w:t>
            </w:r>
          </w:p>
        </w:tc>
        <w:tc>
          <w:tcPr>
            <w:tcW w:w="2200" w:type="dxa"/>
            <w:vAlign w:val="bottom"/>
            <w:gridSpan w:val="2"/>
          </w:tcPr>
          <w:p>
            <w:pPr>
              <w:jc w:val="right"/>
              <w:ind w:right="398"/>
              <w:spacing w:after="0"/>
              <w:rPr>
                <w:sz w:val="20"/>
                <w:szCs w:val="20"/>
                <w:color w:val="auto"/>
              </w:rPr>
            </w:pPr>
            <w:r>
              <w:rPr>
                <w:rFonts w:ascii="Arial" w:cs="Arial" w:eastAsia="Arial" w:hAnsi="Arial"/>
                <w:sz w:val="12"/>
                <w:szCs w:val="12"/>
                <w:color w:val="auto"/>
              </w:rPr>
              <w:t>7,603,336</w:t>
            </w:r>
          </w:p>
        </w:tc>
      </w:tr>
      <w:tr>
        <w:trPr>
          <w:trHeight w:val="137"/>
        </w:trPr>
        <w:tc>
          <w:tcPr>
            <w:tcW w:w="2300" w:type="dxa"/>
            <w:vAlign w:val="bottom"/>
          </w:tcPr>
          <w:p>
            <w:pPr>
              <w:ind w:left="260"/>
              <w:spacing w:after="0" w:line="137" w:lineRule="exact"/>
              <w:rPr>
                <w:sz w:val="20"/>
                <w:szCs w:val="20"/>
                <w:color w:val="auto"/>
              </w:rPr>
            </w:pPr>
            <w:r>
              <w:rPr>
                <w:rFonts w:ascii="Arial" w:cs="Arial" w:eastAsia="Arial" w:hAnsi="Arial"/>
                <w:sz w:val="12"/>
                <w:szCs w:val="12"/>
                <w:color w:val="auto"/>
              </w:rPr>
              <w:t>Replacement Options:</w:t>
            </w:r>
          </w:p>
        </w:tc>
        <w:tc>
          <w:tcPr>
            <w:tcW w:w="2460" w:type="dxa"/>
            <w:vAlign w:val="bottom"/>
          </w:tcPr>
          <w:p>
            <w:pPr>
              <w:jc w:val="right"/>
              <w:ind w:right="958"/>
              <w:spacing w:after="0" w:line="137" w:lineRule="exact"/>
              <w:rPr>
                <w:sz w:val="20"/>
                <w:szCs w:val="20"/>
                <w:color w:val="auto"/>
              </w:rPr>
            </w:pPr>
            <w:r>
              <w:rPr>
                <w:rFonts w:ascii="Arial" w:cs="Arial" w:eastAsia="Arial" w:hAnsi="Arial"/>
                <w:sz w:val="12"/>
                <w:szCs w:val="12"/>
                <w:color w:val="auto"/>
              </w:rPr>
              <w:t>19,456</w:t>
            </w:r>
          </w:p>
        </w:tc>
        <w:tc>
          <w:tcPr>
            <w:tcW w:w="460" w:type="dxa"/>
            <w:vAlign w:val="bottom"/>
          </w:tcPr>
          <w:p>
            <w:pPr>
              <w:spacing w:after="0"/>
              <w:rPr>
                <w:sz w:val="11"/>
                <w:szCs w:val="11"/>
                <w:color w:val="auto"/>
              </w:rPr>
            </w:pPr>
          </w:p>
        </w:tc>
        <w:tc>
          <w:tcPr>
            <w:tcW w:w="1460" w:type="dxa"/>
            <w:vAlign w:val="bottom"/>
          </w:tcPr>
          <w:p>
            <w:pPr>
              <w:jc w:val="center"/>
              <w:ind w:right="198"/>
              <w:spacing w:after="0" w:line="137" w:lineRule="exact"/>
              <w:rPr>
                <w:sz w:val="20"/>
                <w:szCs w:val="20"/>
                <w:color w:val="auto"/>
              </w:rPr>
            </w:pPr>
            <w:r>
              <w:rPr>
                <w:rFonts w:ascii="Arial" w:cs="Arial" w:eastAsia="Arial" w:hAnsi="Arial"/>
                <w:sz w:val="12"/>
                <w:szCs w:val="12"/>
                <w:color w:val="auto"/>
                <w:w w:val="87"/>
              </w:rPr>
              <w:t>0.1%</w:t>
            </w:r>
          </w:p>
        </w:tc>
        <w:tc>
          <w:tcPr>
            <w:tcW w:w="320" w:type="dxa"/>
            <w:vAlign w:val="bottom"/>
          </w:tcPr>
          <w:p>
            <w:pPr>
              <w:spacing w:after="0"/>
              <w:rPr>
                <w:sz w:val="11"/>
                <w:szCs w:val="11"/>
                <w:color w:val="auto"/>
              </w:rPr>
            </w:pPr>
          </w:p>
        </w:tc>
        <w:tc>
          <w:tcPr>
            <w:tcW w:w="1280" w:type="dxa"/>
            <w:vAlign w:val="bottom"/>
          </w:tcPr>
          <w:p>
            <w:pPr>
              <w:jc w:val="center"/>
              <w:spacing w:after="0" w:line="137" w:lineRule="exact"/>
              <w:rPr>
                <w:sz w:val="20"/>
                <w:szCs w:val="20"/>
                <w:color w:val="auto"/>
              </w:rPr>
            </w:pPr>
            <w:r>
              <w:rPr>
                <w:rFonts w:ascii="Arial" w:cs="Arial" w:eastAsia="Arial" w:hAnsi="Arial"/>
                <w:sz w:val="12"/>
                <w:szCs w:val="12"/>
                <w:color w:val="auto"/>
                <w:w w:val="93"/>
              </w:rPr>
              <w:t>48.73</w:t>
            </w:r>
          </w:p>
        </w:tc>
        <w:tc>
          <w:tcPr>
            <w:tcW w:w="1040" w:type="dxa"/>
            <w:vAlign w:val="bottom"/>
          </w:tcPr>
          <w:p>
            <w:pPr>
              <w:jc w:val="center"/>
              <w:ind w:left="98"/>
              <w:spacing w:after="0" w:line="137" w:lineRule="exact"/>
              <w:rPr>
                <w:sz w:val="20"/>
                <w:szCs w:val="20"/>
                <w:color w:val="auto"/>
              </w:rPr>
            </w:pPr>
            <w:r>
              <w:rPr>
                <w:rFonts w:ascii="Arial" w:cs="Arial" w:eastAsia="Arial" w:hAnsi="Arial"/>
                <w:sz w:val="12"/>
                <w:szCs w:val="12"/>
                <w:color w:val="auto"/>
                <w:w w:val="94"/>
              </w:rPr>
              <w:t>02/13/07</w:t>
            </w:r>
          </w:p>
        </w:tc>
        <w:tc>
          <w:tcPr>
            <w:tcW w:w="2200" w:type="dxa"/>
            <w:vAlign w:val="bottom"/>
            <w:gridSpan w:val="2"/>
          </w:tcPr>
          <w:p>
            <w:pPr>
              <w:jc w:val="right"/>
              <w:ind w:right="398"/>
              <w:spacing w:after="0" w:line="137" w:lineRule="exact"/>
              <w:rPr>
                <w:sz w:val="20"/>
                <w:szCs w:val="20"/>
                <w:color w:val="auto"/>
              </w:rPr>
            </w:pPr>
            <w:r>
              <w:rPr>
                <w:rFonts w:ascii="Arial" w:cs="Arial" w:eastAsia="Arial" w:hAnsi="Arial"/>
                <w:sz w:val="12"/>
                <w:szCs w:val="12"/>
                <w:color w:val="auto"/>
              </w:rPr>
              <w:t>322,442</w:t>
            </w:r>
          </w:p>
        </w:tc>
      </w:tr>
      <w:tr>
        <w:trPr>
          <w:trHeight w:val="137"/>
        </w:trPr>
        <w:tc>
          <w:tcPr>
            <w:tcW w:w="2300" w:type="dxa"/>
            <w:vAlign w:val="bottom"/>
          </w:tcPr>
          <w:p>
            <w:pPr>
              <w:spacing w:after="0"/>
              <w:rPr>
                <w:sz w:val="11"/>
                <w:szCs w:val="11"/>
                <w:color w:val="auto"/>
              </w:rPr>
            </w:pPr>
          </w:p>
        </w:tc>
        <w:tc>
          <w:tcPr>
            <w:tcW w:w="2460" w:type="dxa"/>
            <w:vAlign w:val="bottom"/>
          </w:tcPr>
          <w:p>
            <w:pPr>
              <w:jc w:val="right"/>
              <w:ind w:right="958"/>
              <w:spacing w:after="0" w:line="137" w:lineRule="exact"/>
              <w:rPr>
                <w:sz w:val="20"/>
                <w:szCs w:val="20"/>
                <w:color w:val="auto"/>
              </w:rPr>
            </w:pPr>
            <w:r>
              <w:rPr>
                <w:rFonts w:ascii="Arial" w:cs="Arial" w:eastAsia="Arial" w:hAnsi="Arial"/>
                <w:sz w:val="12"/>
                <w:szCs w:val="12"/>
                <w:color w:val="auto"/>
              </w:rPr>
              <w:t>21,485</w:t>
            </w:r>
          </w:p>
        </w:tc>
        <w:tc>
          <w:tcPr>
            <w:tcW w:w="460" w:type="dxa"/>
            <w:vAlign w:val="bottom"/>
          </w:tcPr>
          <w:p>
            <w:pPr>
              <w:spacing w:after="0"/>
              <w:rPr>
                <w:sz w:val="11"/>
                <w:szCs w:val="11"/>
                <w:color w:val="auto"/>
              </w:rPr>
            </w:pPr>
          </w:p>
        </w:tc>
        <w:tc>
          <w:tcPr>
            <w:tcW w:w="1460" w:type="dxa"/>
            <w:vAlign w:val="bottom"/>
          </w:tcPr>
          <w:p>
            <w:pPr>
              <w:jc w:val="center"/>
              <w:ind w:right="198"/>
              <w:spacing w:after="0" w:line="137" w:lineRule="exact"/>
              <w:rPr>
                <w:sz w:val="20"/>
                <w:szCs w:val="20"/>
                <w:color w:val="auto"/>
              </w:rPr>
            </w:pPr>
            <w:r>
              <w:rPr>
                <w:rFonts w:ascii="Arial" w:cs="Arial" w:eastAsia="Arial" w:hAnsi="Arial"/>
                <w:sz w:val="12"/>
                <w:szCs w:val="12"/>
                <w:color w:val="auto"/>
                <w:w w:val="87"/>
              </w:rPr>
              <w:t>0.1%</w:t>
            </w:r>
          </w:p>
        </w:tc>
        <w:tc>
          <w:tcPr>
            <w:tcW w:w="320" w:type="dxa"/>
            <w:vAlign w:val="bottom"/>
          </w:tcPr>
          <w:p>
            <w:pPr>
              <w:spacing w:after="0"/>
              <w:rPr>
                <w:sz w:val="11"/>
                <w:szCs w:val="11"/>
                <w:color w:val="auto"/>
              </w:rPr>
            </w:pPr>
          </w:p>
        </w:tc>
        <w:tc>
          <w:tcPr>
            <w:tcW w:w="1280" w:type="dxa"/>
            <w:vAlign w:val="bottom"/>
          </w:tcPr>
          <w:p>
            <w:pPr>
              <w:jc w:val="center"/>
              <w:spacing w:after="0" w:line="137" w:lineRule="exact"/>
              <w:rPr>
                <w:sz w:val="20"/>
                <w:szCs w:val="20"/>
                <w:color w:val="auto"/>
              </w:rPr>
            </w:pPr>
            <w:r>
              <w:rPr>
                <w:rFonts w:ascii="Arial" w:cs="Arial" w:eastAsia="Arial" w:hAnsi="Arial"/>
                <w:sz w:val="12"/>
                <w:szCs w:val="12"/>
                <w:color w:val="auto"/>
                <w:w w:val="93"/>
              </w:rPr>
              <w:t>48.73</w:t>
            </w:r>
          </w:p>
        </w:tc>
        <w:tc>
          <w:tcPr>
            <w:tcW w:w="1040" w:type="dxa"/>
            <w:vAlign w:val="bottom"/>
          </w:tcPr>
          <w:p>
            <w:pPr>
              <w:jc w:val="center"/>
              <w:ind w:left="98"/>
              <w:spacing w:after="0" w:line="137" w:lineRule="exact"/>
              <w:rPr>
                <w:sz w:val="20"/>
                <w:szCs w:val="20"/>
                <w:color w:val="auto"/>
              </w:rPr>
            </w:pPr>
            <w:r>
              <w:rPr>
                <w:rFonts w:ascii="Arial" w:cs="Arial" w:eastAsia="Arial" w:hAnsi="Arial"/>
                <w:sz w:val="12"/>
                <w:szCs w:val="12"/>
                <w:color w:val="auto"/>
                <w:w w:val="94"/>
              </w:rPr>
              <w:t>02/10/10</w:t>
            </w:r>
          </w:p>
        </w:tc>
        <w:tc>
          <w:tcPr>
            <w:tcW w:w="2200" w:type="dxa"/>
            <w:vAlign w:val="bottom"/>
            <w:gridSpan w:val="2"/>
          </w:tcPr>
          <w:p>
            <w:pPr>
              <w:jc w:val="right"/>
              <w:ind w:right="398"/>
              <w:spacing w:after="0" w:line="137" w:lineRule="exact"/>
              <w:rPr>
                <w:sz w:val="20"/>
                <w:szCs w:val="20"/>
                <w:color w:val="auto"/>
              </w:rPr>
            </w:pPr>
            <w:r>
              <w:rPr>
                <w:rFonts w:ascii="Arial" w:cs="Arial" w:eastAsia="Arial" w:hAnsi="Arial"/>
                <w:sz w:val="12"/>
                <w:szCs w:val="12"/>
                <w:color w:val="auto"/>
              </w:rPr>
              <w:t>577,221</w:t>
            </w:r>
          </w:p>
        </w:tc>
      </w:tr>
      <w:tr>
        <w:trPr>
          <w:trHeight w:val="137"/>
        </w:trPr>
        <w:tc>
          <w:tcPr>
            <w:tcW w:w="2300" w:type="dxa"/>
            <w:vAlign w:val="bottom"/>
          </w:tcPr>
          <w:p>
            <w:pPr>
              <w:spacing w:after="0"/>
              <w:rPr>
                <w:sz w:val="11"/>
                <w:szCs w:val="11"/>
                <w:color w:val="auto"/>
              </w:rPr>
            </w:pPr>
          </w:p>
        </w:tc>
        <w:tc>
          <w:tcPr>
            <w:tcW w:w="2460" w:type="dxa"/>
            <w:vAlign w:val="bottom"/>
          </w:tcPr>
          <w:p>
            <w:pPr>
              <w:jc w:val="right"/>
              <w:ind w:right="978"/>
              <w:spacing w:after="0" w:line="137" w:lineRule="exact"/>
              <w:rPr>
                <w:sz w:val="20"/>
                <w:szCs w:val="20"/>
                <w:color w:val="auto"/>
              </w:rPr>
            </w:pPr>
            <w:r>
              <w:rPr>
                <w:rFonts w:ascii="Arial" w:cs="Arial" w:eastAsia="Arial" w:hAnsi="Arial"/>
                <w:sz w:val="12"/>
                <w:szCs w:val="12"/>
                <w:color w:val="auto"/>
              </w:rPr>
              <w:t>45,247</w:t>
            </w:r>
          </w:p>
        </w:tc>
        <w:tc>
          <w:tcPr>
            <w:tcW w:w="460" w:type="dxa"/>
            <w:vAlign w:val="bottom"/>
          </w:tcPr>
          <w:p>
            <w:pPr>
              <w:spacing w:after="0"/>
              <w:rPr>
                <w:sz w:val="11"/>
                <w:szCs w:val="11"/>
                <w:color w:val="auto"/>
              </w:rPr>
            </w:pPr>
          </w:p>
        </w:tc>
        <w:tc>
          <w:tcPr>
            <w:tcW w:w="1460" w:type="dxa"/>
            <w:vAlign w:val="bottom"/>
          </w:tcPr>
          <w:p>
            <w:pPr>
              <w:jc w:val="center"/>
              <w:ind w:right="198"/>
              <w:spacing w:after="0" w:line="137" w:lineRule="exact"/>
              <w:rPr>
                <w:sz w:val="20"/>
                <w:szCs w:val="20"/>
                <w:color w:val="auto"/>
              </w:rPr>
            </w:pPr>
            <w:r>
              <w:rPr>
                <w:rFonts w:ascii="Arial" w:cs="Arial" w:eastAsia="Arial" w:hAnsi="Arial"/>
                <w:sz w:val="12"/>
                <w:szCs w:val="12"/>
                <w:color w:val="auto"/>
                <w:w w:val="87"/>
              </w:rPr>
              <w:t>0.2%</w:t>
            </w:r>
          </w:p>
        </w:tc>
        <w:tc>
          <w:tcPr>
            <w:tcW w:w="320" w:type="dxa"/>
            <w:vAlign w:val="bottom"/>
          </w:tcPr>
          <w:p>
            <w:pPr>
              <w:spacing w:after="0"/>
              <w:rPr>
                <w:sz w:val="11"/>
                <w:szCs w:val="11"/>
                <w:color w:val="auto"/>
              </w:rPr>
            </w:pPr>
          </w:p>
        </w:tc>
        <w:tc>
          <w:tcPr>
            <w:tcW w:w="1280" w:type="dxa"/>
            <w:vAlign w:val="bottom"/>
          </w:tcPr>
          <w:p>
            <w:pPr>
              <w:jc w:val="center"/>
              <w:spacing w:after="0" w:line="137" w:lineRule="exact"/>
              <w:rPr>
                <w:sz w:val="20"/>
                <w:szCs w:val="20"/>
                <w:color w:val="auto"/>
              </w:rPr>
            </w:pPr>
            <w:r>
              <w:rPr>
                <w:rFonts w:ascii="Arial" w:cs="Arial" w:eastAsia="Arial" w:hAnsi="Arial"/>
                <w:sz w:val="12"/>
                <w:szCs w:val="12"/>
                <w:color w:val="auto"/>
                <w:w w:val="93"/>
              </w:rPr>
              <w:t>53.00</w:t>
            </w:r>
          </w:p>
        </w:tc>
        <w:tc>
          <w:tcPr>
            <w:tcW w:w="1040" w:type="dxa"/>
            <w:vAlign w:val="bottom"/>
          </w:tcPr>
          <w:p>
            <w:pPr>
              <w:jc w:val="center"/>
              <w:ind w:left="98"/>
              <w:spacing w:after="0" w:line="137" w:lineRule="exact"/>
              <w:rPr>
                <w:sz w:val="20"/>
                <w:szCs w:val="20"/>
                <w:color w:val="auto"/>
              </w:rPr>
            </w:pPr>
            <w:r>
              <w:rPr>
                <w:rFonts w:ascii="Arial" w:cs="Arial" w:eastAsia="Arial" w:hAnsi="Arial"/>
                <w:sz w:val="12"/>
                <w:szCs w:val="12"/>
                <w:color w:val="auto"/>
                <w:w w:val="94"/>
              </w:rPr>
              <w:t>02/12/08</w:t>
            </w:r>
          </w:p>
        </w:tc>
        <w:tc>
          <w:tcPr>
            <w:tcW w:w="2200" w:type="dxa"/>
            <w:vAlign w:val="bottom"/>
            <w:gridSpan w:val="2"/>
          </w:tcPr>
          <w:p>
            <w:pPr>
              <w:jc w:val="right"/>
              <w:ind w:right="398"/>
              <w:spacing w:after="0" w:line="137" w:lineRule="exact"/>
              <w:rPr>
                <w:sz w:val="20"/>
                <w:szCs w:val="20"/>
                <w:color w:val="auto"/>
              </w:rPr>
            </w:pPr>
            <w:r>
              <w:rPr>
                <w:rFonts w:ascii="Arial" w:cs="Arial" w:eastAsia="Arial" w:hAnsi="Arial"/>
                <w:sz w:val="12"/>
                <w:szCs w:val="12"/>
                <w:color w:val="auto"/>
              </w:rPr>
              <w:t>863,785</w:t>
            </w:r>
          </w:p>
        </w:tc>
      </w:tr>
      <w:tr>
        <w:trPr>
          <w:trHeight w:val="157"/>
        </w:trPr>
        <w:tc>
          <w:tcPr>
            <w:tcW w:w="2300" w:type="dxa"/>
            <w:vAlign w:val="bottom"/>
          </w:tcPr>
          <w:p>
            <w:pPr>
              <w:spacing w:after="0"/>
              <w:rPr>
                <w:sz w:val="13"/>
                <w:szCs w:val="13"/>
                <w:color w:val="auto"/>
              </w:rPr>
            </w:pPr>
          </w:p>
        </w:tc>
        <w:tc>
          <w:tcPr>
            <w:tcW w:w="2460" w:type="dxa"/>
            <w:vAlign w:val="bottom"/>
          </w:tcPr>
          <w:p>
            <w:pPr>
              <w:jc w:val="right"/>
              <w:ind w:right="978"/>
              <w:spacing w:after="0"/>
              <w:rPr>
                <w:sz w:val="20"/>
                <w:szCs w:val="20"/>
                <w:color w:val="auto"/>
              </w:rPr>
            </w:pPr>
            <w:r>
              <w:rPr>
                <w:rFonts w:ascii="Arial" w:cs="Arial" w:eastAsia="Arial" w:hAnsi="Arial"/>
                <w:sz w:val="12"/>
                <w:szCs w:val="12"/>
                <w:color w:val="auto"/>
              </w:rPr>
              <w:t>3,535</w:t>
            </w:r>
          </w:p>
        </w:tc>
        <w:tc>
          <w:tcPr>
            <w:tcW w:w="460" w:type="dxa"/>
            <w:vAlign w:val="bottom"/>
          </w:tcPr>
          <w:p>
            <w:pPr>
              <w:spacing w:after="0"/>
              <w:rPr>
                <w:sz w:val="13"/>
                <w:szCs w:val="13"/>
                <w:color w:val="auto"/>
              </w:rPr>
            </w:pPr>
          </w:p>
        </w:tc>
        <w:tc>
          <w:tcPr>
            <w:tcW w:w="1460" w:type="dxa"/>
            <w:vAlign w:val="bottom"/>
          </w:tcPr>
          <w:p>
            <w:pPr>
              <w:jc w:val="center"/>
              <w:ind w:right="198"/>
              <w:spacing w:after="0"/>
              <w:rPr>
                <w:sz w:val="20"/>
                <w:szCs w:val="20"/>
                <w:color w:val="auto"/>
              </w:rPr>
            </w:pPr>
            <w:r>
              <w:rPr>
                <w:rFonts w:ascii="Arial" w:cs="Arial" w:eastAsia="Arial" w:hAnsi="Arial"/>
                <w:sz w:val="12"/>
                <w:szCs w:val="12"/>
                <w:color w:val="auto"/>
                <w:w w:val="87"/>
              </w:rPr>
              <w:t>0.0%</w:t>
            </w:r>
          </w:p>
        </w:tc>
        <w:tc>
          <w:tcPr>
            <w:tcW w:w="3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93"/>
              </w:rPr>
              <w:t>53.00</w:t>
            </w:r>
          </w:p>
        </w:tc>
        <w:tc>
          <w:tcPr>
            <w:tcW w:w="1040" w:type="dxa"/>
            <w:vAlign w:val="bottom"/>
          </w:tcPr>
          <w:p>
            <w:pPr>
              <w:jc w:val="center"/>
              <w:ind w:left="98"/>
              <w:spacing w:after="0"/>
              <w:rPr>
                <w:sz w:val="20"/>
                <w:szCs w:val="20"/>
                <w:color w:val="auto"/>
              </w:rPr>
            </w:pPr>
            <w:r>
              <w:rPr>
                <w:rFonts w:ascii="Arial" w:cs="Arial" w:eastAsia="Arial" w:hAnsi="Arial"/>
                <w:sz w:val="12"/>
                <w:szCs w:val="12"/>
                <w:color w:val="auto"/>
                <w:w w:val="94"/>
              </w:rPr>
              <w:t>02/10/10</w:t>
            </w:r>
          </w:p>
        </w:tc>
        <w:tc>
          <w:tcPr>
            <w:tcW w:w="2200" w:type="dxa"/>
            <w:vAlign w:val="bottom"/>
            <w:gridSpan w:val="2"/>
          </w:tcPr>
          <w:p>
            <w:pPr>
              <w:jc w:val="right"/>
              <w:ind w:right="398"/>
              <w:spacing w:after="0"/>
              <w:rPr>
                <w:sz w:val="20"/>
                <w:szCs w:val="20"/>
                <w:color w:val="auto"/>
              </w:rPr>
            </w:pPr>
            <w:r>
              <w:rPr>
                <w:rFonts w:ascii="Arial" w:cs="Arial" w:eastAsia="Arial" w:hAnsi="Arial"/>
                <w:sz w:val="12"/>
                <w:szCs w:val="12"/>
                <w:color w:val="auto"/>
              </w:rPr>
              <w:t>93,606</w:t>
            </w:r>
          </w:p>
        </w:tc>
      </w:tr>
      <w:tr>
        <w:trPr>
          <w:trHeight w:val="97"/>
        </w:trPr>
        <w:tc>
          <w:tcPr>
            <w:tcW w:w="2300" w:type="dxa"/>
            <w:vAlign w:val="bottom"/>
            <w:tcBorders>
              <w:bottom w:val="single" w:sz="8" w:color="808080"/>
            </w:tcBorders>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0" w:type="dxa"/>
            <w:vAlign w:val="bottom"/>
            <w:tcBorders>
              <w:bottom w:val="single" w:sz="8" w:color="808080"/>
            </w:tcBorders>
            <w:gridSpan w:val="2"/>
          </w:tcPr>
          <w:p>
            <w:pPr>
              <w:spacing w:after="0"/>
              <w:rPr>
                <w:sz w:val="8"/>
                <w:szCs w:val="8"/>
                <w:color w:val="auto"/>
              </w:rPr>
            </w:pPr>
          </w:p>
        </w:tc>
      </w:tr>
      <w:tr>
        <w:trPr>
          <w:trHeight w:val="243"/>
        </w:trPr>
        <w:tc>
          <w:tcPr>
            <w:tcW w:w="2300" w:type="dxa"/>
            <w:vAlign w:val="bottom"/>
          </w:tcPr>
          <w:p>
            <w:pPr>
              <w:spacing w:after="0"/>
              <w:rPr>
                <w:sz w:val="20"/>
                <w:szCs w:val="20"/>
                <w:color w:val="auto"/>
              </w:rPr>
            </w:pPr>
            <w:r>
              <w:rPr>
                <w:rFonts w:ascii="Arial" w:cs="Arial" w:eastAsia="Arial" w:hAnsi="Arial"/>
                <w:sz w:val="12"/>
                <w:szCs w:val="12"/>
                <w:color w:val="auto"/>
              </w:rPr>
              <w:t>Jeffrey M. Leiden, M.D., Ph.D.</w:t>
            </w:r>
          </w:p>
        </w:tc>
        <w:tc>
          <w:tcPr>
            <w:tcW w:w="2460" w:type="dxa"/>
            <w:vAlign w:val="bottom"/>
          </w:tcPr>
          <w:p>
            <w:pPr>
              <w:jc w:val="right"/>
              <w:ind w:right="818"/>
              <w:spacing w:after="0"/>
              <w:rPr>
                <w:sz w:val="20"/>
                <w:szCs w:val="20"/>
                <w:color w:val="auto"/>
              </w:rPr>
            </w:pPr>
            <w:r>
              <w:rPr>
                <w:rFonts w:ascii="Arial" w:cs="Arial" w:eastAsia="Arial" w:hAnsi="Arial"/>
                <w:sz w:val="12"/>
                <w:szCs w:val="12"/>
                <w:color w:val="auto"/>
              </w:rPr>
              <w:t>250,000(3)</w:t>
            </w:r>
          </w:p>
        </w:tc>
        <w:tc>
          <w:tcPr>
            <w:tcW w:w="460" w:type="dxa"/>
            <w:vAlign w:val="bottom"/>
          </w:tcPr>
          <w:p>
            <w:pPr>
              <w:spacing w:after="0"/>
              <w:rPr>
                <w:sz w:val="21"/>
                <w:szCs w:val="21"/>
                <w:color w:val="auto"/>
              </w:rPr>
            </w:pPr>
          </w:p>
        </w:tc>
        <w:tc>
          <w:tcPr>
            <w:tcW w:w="1460" w:type="dxa"/>
            <w:vAlign w:val="bottom"/>
          </w:tcPr>
          <w:p>
            <w:pPr>
              <w:jc w:val="center"/>
              <w:ind w:right="198"/>
              <w:spacing w:after="0"/>
              <w:rPr>
                <w:sz w:val="20"/>
                <w:szCs w:val="20"/>
                <w:color w:val="auto"/>
              </w:rPr>
            </w:pPr>
            <w:r>
              <w:rPr>
                <w:rFonts w:ascii="Arial" w:cs="Arial" w:eastAsia="Arial" w:hAnsi="Arial"/>
                <w:sz w:val="12"/>
                <w:szCs w:val="12"/>
                <w:color w:val="auto"/>
                <w:w w:val="87"/>
              </w:rPr>
              <w:t>1.1%</w:t>
            </w:r>
          </w:p>
        </w:tc>
        <w:tc>
          <w:tcPr>
            <w:tcW w:w="3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93"/>
              </w:rPr>
              <w:t>48.36</w:t>
            </w:r>
          </w:p>
        </w:tc>
        <w:tc>
          <w:tcPr>
            <w:tcW w:w="1040" w:type="dxa"/>
            <w:vAlign w:val="bottom"/>
          </w:tcPr>
          <w:p>
            <w:pPr>
              <w:jc w:val="center"/>
              <w:ind w:left="98"/>
              <w:spacing w:after="0"/>
              <w:rPr>
                <w:sz w:val="20"/>
                <w:szCs w:val="20"/>
                <w:color w:val="auto"/>
              </w:rPr>
            </w:pPr>
            <w:r>
              <w:rPr>
                <w:rFonts w:ascii="Arial" w:cs="Arial" w:eastAsia="Arial" w:hAnsi="Arial"/>
                <w:sz w:val="12"/>
                <w:szCs w:val="12"/>
                <w:color w:val="auto"/>
                <w:w w:val="94"/>
              </w:rPr>
              <w:t>02/08/11</w:t>
            </w:r>
          </w:p>
        </w:tc>
        <w:tc>
          <w:tcPr>
            <w:tcW w:w="2200" w:type="dxa"/>
            <w:vAlign w:val="bottom"/>
            <w:gridSpan w:val="2"/>
          </w:tcPr>
          <w:p>
            <w:pPr>
              <w:jc w:val="right"/>
              <w:ind w:right="398"/>
              <w:spacing w:after="0"/>
              <w:rPr>
                <w:sz w:val="20"/>
                <w:szCs w:val="20"/>
                <w:color w:val="auto"/>
              </w:rPr>
            </w:pPr>
            <w:r>
              <w:rPr>
                <w:rFonts w:ascii="Arial" w:cs="Arial" w:eastAsia="Arial" w:hAnsi="Arial"/>
                <w:sz w:val="12"/>
                <w:szCs w:val="12"/>
                <w:color w:val="auto"/>
              </w:rPr>
              <w:t>7,603,336</w:t>
            </w:r>
          </w:p>
        </w:tc>
      </w:tr>
      <w:tr>
        <w:trPr>
          <w:trHeight w:val="97"/>
        </w:trPr>
        <w:tc>
          <w:tcPr>
            <w:tcW w:w="2300" w:type="dxa"/>
            <w:vAlign w:val="bottom"/>
            <w:tcBorders>
              <w:bottom w:val="single" w:sz="8" w:color="808080"/>
            </w:tcBorders>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0" w:type="dxa"/>
            <w:vAlign w:val="bottom"/>
            <w:tcBorders>
              <w:bottom w:val="single" w:sz="8" w:color="808080"/>
            </w:tcBorders>
            <w:gridSpan w:val="2"/>
          </w:tcPr>
          <w:p>
            <w:pPr>
              <w:spacing w:after="0"/>
              <w:rPr>
                <w:sz w:val="8"/>
                <w:szCs w:val="8"/>
                <w:color w:val="auto"/>
              </w:rPr>
            </w:pPr>
          </w:p>
        </w:tc>
      </w:tr>
      <w:tr>
        <w:trPr>
          <w:trHeight w:val="223"/>
        </w:trPr>
        <w:tc>
          <w:tcPr>
            <w:tcW w:w="2300" w:type="dxa"/>
            <w:vAlign w:val="bottom"/>
          </w:tcPr>
          <w:p>
            <w:pPr>
              <w:spacing w:after="0"/>
              <w:rPr>
                <w:sz w:val="20"/>
                <w:szCs w:val="20"/>
                <w:color w:val="auto"/>
              </w:rPr>
            </w:pPr>
            <w:r>
              <w:rPr>
                <w:rFonts w:ascii="Arial" w:cs="Arial" w:eastAsia="Arial" w:hAnsi="Arial"/>
                <w:sz w:val="12"/>
                <w:szCs w:val="12"/>
                <w:color w:val="auto"/>
              </w:rPr>
              <w:t>Christopher B. Begley</w:t>
            </w:r>
          </w:p>
        </w:tc>
        <w:tc>
          <w:tcPr>
            <w:tcW w:w="2460" w:type="dxa"/>
            <w:vAlign w:val="bottom"/>
          </w:tcPr>
          <w:p>
            <w:pPr>
              <w:jc w:val="right"/>
              <w:ind w:right="818"/>
              <w:spacing w:after="0"/>
              <w:rPr>
                <w:sz w:val="20"/>
                <w:szCs w:val="20"/>
                <w:color w:val="auto"/>
              </w:rPr>
            </w:pPr>
            <w:r>
              <w:rPr>
                <w:rFonts w:ascii="Arial" w:cs="Arial" w:eastAsia="Arial" w:hAnsi="Arial"/>
                <w:sz w:val="12"/>
                <w:szCs w:val="12"/>
                <w:color w:val="auto"/>
              </w:rPr>
              <w:t>100,000(3)</w:t>
            </w:r>
          </w:p>
        </w:tc>
        <w:tc>
          <w:tcPr>
            <w:tcW w:w="460" w:type="dxa"/>
            <w:vAlign w:val="bottom"/>
          </w:tcPr>
          <w:p>
            <w:pPr>
              <w:spacing w:after="0"/>
              <w:rPr>
                <w:sz w:val="19"/>
                <w:szCs w:val="19"/>
                <w:color w:val="auto"/>
              </w:rPr>
            </w:pPr>
          </w:p>
        </w:tc>
        <w:tc>
          <w:tcPr>
            <w:tcW w:w="1460" w:type="dxa"/>
            <w:vAlign w:val="bottom"/>
          </w:tcPr>
          <w:p>
            <w:pPr>
              <w:jc w:val="center"/>
              <w:ind w:right="198"/>
              <w:spacing w:after="0"/>
              <w:rPr>
                <w:sz w:val="20"/>
                <w:szCs w:val="20"/>
                <w:color w:val="auto"/>
              </w:rPr>
            </w:pPr>
            <w:r>
              <w:rPr>
                <w:rFonts w:ascii="Arial" w:cs="Arial" w:eastAsia="Arial" w:hAnsi="Arial"/>
                <w:sz w:val="12"/>
                <w:szCs w:val="12"/>
                <w:color w:val="auto"/>
                <w:w w:val="87"/>
              </w:rPr>
              <w:t>0.4%</w:t>
            </w:r>
          </w:p>
        </w:tc>
        <w:tc>
          <w:tcPr>
            <w:tcW w:w="3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93"/>
              </w:rPr>
              <w:t>48.36</w:t>
            </w:r>
          </w:p>
        </w:tc>
        <w:tc>
          <w:tcPr>
            <w:tcW w:w="1040" w:type="dxa"/>
            <w:vAlign w:val="bottom"/>
          </w:tcPr>
          <w:p>
            <w:pPr>
              <w:jc w:val="center"/>
              <w:ind w:left="98"/>
              <w:spacing w:after="0"/>
              <w:rPr>
                <w:sz w:val="20"/>
                <w:szCs w:val="20"/>
                <w:color w:val="auto"/>
              </w:rPr>
            </w:pPr>
            <w:r>
              <w:rPr>
                <w:rFonts w:ascii="Arial" w:cs="Arial" w:eastAsia="Arial" w:hAnsi="Arial"/>
                <w:sz w:val="12"/>
                <w:szCs w:val="12"/>
                <w:color w:val="auto"/>
                <w:w w:val="94"/>
              </w:rPr>
              <w:t>02/08/11</w:t>
            </w:r>
          </w:p>
        </w:tc>
        <w:tc>
          <w:tcPr>
            <w:tcW w:w="2200" w:type="dxa"/>
            <w:vAlign w:val="bottom"/>
            <w:gridSpan w:val="2"/>
          </w:tcPr>
          <w:p>
            <w:pPr>
              <w:jc w:val="right"/>
              <w:ind w:right="398"/>
              <w:spacing w:after="0"/>
              <w:rPr>
                <w:sz w:val="20"/>
                <w:szCs w:val="20"/>
                <w:color w:val="auto"/>
              </w:rPr>
            </w:pPr>
            <w:r>
              <w:rPr>
                <w:rFonts w:ascii="Arial" w:cs="Arial" w:eastAsia="Arial" w:hAnsi="Arial"/>
                <w:sz w:val="12"/>
                <w:szCs w:val="12"/>
                <w:color w:val="auto"/>
              </w:rPr>
              <w:t>3,041,334</w:t>
            </w:r>
          </w:p>
        </w:tc>
      </w:tr>
      <w:tr>
        <w:trPr>
          <w:trHeight w:val="137"/>
        </w:trPr>
        <w:tc>
          <w:tcPr>
            <w:tcW w:w="2300" w:type="dxa"/>
            <w:vAlign w:val="bottom"/>
          </w:tcPr>
          <w:p>
            <w:pPr>
              <w:ind w:left="260"/>
              <w:spacing w:after="0" w:line="137" w:lineRule="exact"/>
              <w:rPr>
                <w:sz w:val="20"/>
                <w:szCs w:val="20"/>
                <w:color w:val="auto"/>
              </w:rPr>
            </w:pPr>
            <w:r>
              <w:rPr>
                <w:rFonts w:ascii="Arial" w:cs="Arial" w:eastAsia="Arial" w:hAnsi="Arial"/>
                <w:sz w:val="12"/>
                <w:szCs w:val="12"/>
                <w:color w:val="auto"/>
              </w:rPr>
              <w:t>Replacement Options:</w:t>
            </w:r>
          </w:p>
        </w:tc>
        <w:tc>
          <w:tcPr>
            <w:tcW w:w="2460" w:type="dxa"/>
            <w:vAlign w:val="bottom"/>
          </w:tcPr>
          <w:p>
            <w:pPr>
              <w:jc w:val="center"/>
              <w:ind w:left="58"/>
              <w:spacing w:after="0" w:line="137" w:lineRule="exact"/>
              <w:rPr>
                <w:sz w:val="20"/>
                <w:szCs w:val="20"/>
                <w:color w:val="auto"/>
              </w:rPr>
            </w:pPr>
            <w:r>
              <w:rPr>
                <w:rFonts w:ascii="Arial" w:cs="Arial" w:eastAsia="Arial" w:hAnsi="Arial"/>
                <w:sz w:val="12"/>
                <w:szCs w:val="12"/>
                <w:color w:val="auto"/>
                <w:w w:val="92"/>
              </w:rPr>
              <w:t>33,973</w:t>
            </w:r>
          </w:p>
        </w:tc>
        <w:tc>
          <w:tcPr>
            <w:tcW w:w="460" w:type="dxa"/>
            <w:vAlign w:val="bottom"/>
          </w:tcPr>
          <w:p>
            <w:pPr>
              <w:spacing w:after="0"/>
              <w:rPr>
                <w:sz w:val="11"/>
                <w:szCs w:val="11"/>
                <w:color w:val="auto"/>
              </w:rPr>
            </w:pPr>
          </w:p>
        </w:tc>
        <w:tc>
          <w:tcPr>
            <w:tcW w:w="1460" w:type="dxa"/>
            <w:vAlign w:val="bottom"/>
          </w:tcPr>
          <w:p>
            <w:pPr>
              <w:jc w:val="center"/>
              <w:ind w:right="198"/>
              <w:spacing w:after="0" w:line="137" w:lineRule="exact"/>
              <w:rPr>
                <w:sz w:val="20"/>
                <w:szCs w:val="20"/>
                <w:color w:val="auto"/>
              </w:rPr>
            </w:pPr>
            <w:r>
              <w:rPr>
                <w:rFonts w:ascii="Arial" w:cs="Arial" w:eastAsia="Arial" w:hAnsi="Arial"/>
                <w:sz w:val="12"/>
                <w:szCs w:val="12"/>
                <w:color w:val="auto"/>
                <w:w w:val="87"/>
              </w:rPr>
              <w:t>0.1%</w:t>
            </w:r>
          </w:p>
        </w:tc>
        <w:tc>
          <w:tcPr>
            <w:tcW w:w="320" w:type="dxa"/>
            <w:vAlign w:val="bottom"/>
          </w:tcPr>
          <w:p>
            <w:pPr>
              <w:spacing w:after="0"/>
              <w:rPr>
                <w:sz w:val="11"/>
                <w:szCs w:val="11"/>
                <w:color w:val="auto"/>
              </w:rPr>
            </w:pPr>
          </w:p>
        </w:tc>
        <w:tc>
          <w:tcPr>
            <w:tcW w:w="1280" w:type="dxa"/>
            <w:vAlign w:val="bottom"/>
          </w:tcPr>
          <w:p>
            <w:pPr>
              <w:jc w:val="center"/>
              <w:spacing w:after="0" w:line="137" w:lineRule="exact"/>
              <w:rPr>
                <w:sz w:val="20"/>
                <w:szCs w:val="20"/>
                <w:color w:val="auto"/>
              </w:rPr>
            </w:pPr>
            <w:r>
              <w:rPr>
                <w:rFonts w:ascii="Arial" w:cs="Arial" w:eastAsia="Arial" w:hAnsi="Arial"/>
                <w:sz w:val="12"/>
                <w:szCs w:val="12"/>
                <w:color w:val="auto"/>
                <w:w w:val="93"/>
              </w:rPr>
              <w:t>49.71</w:t>
            </w:r>
          </w:p>
        </w:tc>
        <w:tc>
          <w:tcPr>
            <w:tcW w:w="1040" w:type="dxa"/>
            <w:vAlign w:val="bottom"/>
          </w:tcPr>
          <w:p>
            <w:pPr>
              <w:jc w:val="center"/>
              <w:ind w:left="98"/>
              <w:spacing w:after="0" w:line="137" w:lineRule="exact"/>
              <w:rPr>
                <w:sz w:val="20"/>
                <w:szCs w:val="20"/>
                <w:color w:val="auto"/>
              </w:rPr>
            </w:pPr>
            <w:r>
              <w:rPr>
                <w:rFonts w:ascii="Arial" w:cs="Arial" w:eastAsia="Arial" w:hAnsi="Arial"/>
                <w:sz w:val="12"/>
                <w:szCs w:val="12"/>
                <w:color w:val="auto"/>
                <w:w w:val="94"/>
              </w:rPr>
              <w:t>02/11/08</w:t>
            </w:r>
          </w:p>
        </w:tc>
        <w:tc>
          <w:tcPr>
            <w:tcW w:w="2200" w:type="dxa"/>
            <w:vAlign w:val="bottom"/>
            <w:gridSpan w:val="2"/>
          </w:tcPr>
          <w:p>
            <w:pPr>
              <w:jc w:val="right"/>
              <w:ind w:right="398"/>
              <w:spacing w:after="0" w:line="137" w:lineRule="exact"/>
              <w:rPr>
                <w:sz w:val="20"/>
                <w:szCs w:val="20"/>
                <w:color w:val="auto"/>
              </w:rPr>
            </w:pPr>
            <w:r>
              <w:rPr>
                <w:rFonts w:ascii="Arial" w:cs="Arial" w:eastAsia="Arial" w:hAnsi="Arial"/>
                <w:sz w:val="12"/>
                <w:szCs w:val="12"/>
                <w:color w:val="auto"/>
              </w:rPr>
              <w:t>687,510</w:t>
            </w:r>
          </w:p>
        </w:tc>
      </w:tr>
      <w:tr>
        <w:trPr>
          <w:trHeight w:val="157"/>
        </w:trPr>
        <w:tc>
          <w:tcPr>
            <w:tcW w:w="2300" w:type="dxa"/>
            <w:vAlign w:val="bottom"/>
          </w:tcPr>
          <w:p>
            <w:pPr>
              <w:spacing w:after="0"/>
              <w:rPr>
                <w:sz w:val="13"/>
                <w:szCs w:val="13"/>
                <w:color w:val="auto"/>
              </w:rPr>
            </w:pPr>
          </w:p>
        </w:tc>
        <w:tc>
          <w:tcPr>
            <w:tcW w:w="2460" w:type="dxa"/>
            <w:vAlign w:val="bottom"/>
          </w:tcPr>
          <w:p>
            <w:pPr>
              <w:jc w:val="right"/>
              <w:ind w:right="938"/>
              <w:spacing w:after="0"/>
              <w:rPr>
                <w:sz w:val="20"/>
                <w:szCs w:val="20"/>
                <w:color w:val="auto"/>
              </w:rPr>
            </w:pPr>
            <w:r>
              <w:rPr>
                <w:rFonts w:ascii="Arial" w:cs="Arial" w:eastAsia="Arial" w:hAnsi="Arial"/>
                <w:sz w:val="12"/>
                <w:szCs w:val="12"/>
                <w:color w:val="auto"/>
              </w:rPr>
              <w:t>24,932</w:t>
            </w:r>
          </w:p>
        </w:tc>
        <w:tc>
          <w:tcPr>
            <w:tcW w:w="460" w:type="dxa"/>
            <w:vAlign w:val="bottom"/>
          </w:tcPr>
          <w:p>
            <w:pPr>
              <w:spacing w:after="0"/>
              <w:rPr>
                <w:sz w:val="13"/>
                <w:szCs w:val="13"/>
                <w:color w:val="auto"/>
              </w:rPr>
            </w:pPr>
          </w:p>
        </w:tc>
        <w:tc>
          <w:tcPr>
            <w:tcW w:w="1460" w:type="dxa"/>
            <w:vAlign w:val="bottom"/>
          </w:tcPr>
          <w:p>
            <w:pPr>
              <w:jc w:val="center"/>
              <w:ind w:right="198"/>
              <w:spacing w:after="0"/>
              <w:rPr>
                <w:sz w:val="20"/>
                <w:szCs w:val="20"/>
                <w:color w:val="auto"/>
              </w:rPr>
            </w:pPr>
            <w:r>
              <w:rPr>
                <w:rFonts w:ascii="Arial" w:cs="Arial" w:eastAsia="Arial" w:hAnsi="Arial"/>
                <w:sz w:val="12"/>
                <w:szCs w:val="12"/>
                <w:color w:val="auto"/>
                <w:w w:val="87"/>
              </w:rPr>
              <w:t>0.1%</w:t>
            </w:r>
          </w:p>
        </w:tc>
        <w:tc>
          <w:tcPr>
            <w:tcW w:w="3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93"/>
              </w:rPr>
              <w:t>49.71</w:t>
            </w:r>
          </w:p>
        </w:tc>
        <w:tc>
          <w:tcPr>
            <w:tcW w:w="1040" w:type="dxa"/>
            <w:vAlign w:val="bottom"/>
          </w:tcPr>
          <w:p>
            <w:pPr>
              <w:jc w:val="center"/>
              <w:ind w:left="98"/>
              <w:spacing w:after="0"/>
              <w:rPr>
                <w:sz w:val="20"/>
                <w:szCs w:val="20"/>
                <w:color w:val="auto"/>
              </w:rPr>
            </w:pPr>
            <w:r>
              <w:rPr>
                <w:rFonts w:ascii="Arial" w:cs="Arial" w:eastAsia="Arial" w:hAnsi="Arial"/>
                <w:sz w:val="12"/>
                <w:szCs w:val="12"/>
                <w:color w:val="auto"/>
                <w:w w:val="94"/>
              </w:rPr>
              <w:t>02/09/10</w:t>
            </w:r>
          </w:p>
        </w:tc>
        <w:tc>
          <w:tcPr>
            <w:tcW w:w="2200" w:type="dxa"/>
            <w:vAlign w:val="bottom"/>
            <w:gridSpan w:val="2"/>
          </w:tcPr>
          <w:p>
            <w:pPr>
              <w:jc w:val="right"/>
              <w:ind w:right="398"/>
              <w:spacing w:after="0"/>
              <w:rPr>
                <w:sz w:val="20"/>
                <w:szCs w:val="20"/>
                <w:color w:val="auto"/>
              </w:rPr>
            </w:pPr>
            <w:r>
              <w:rPr>
                <w:rFonts w:ascii="Arial" w:cs="Arial" w:eastAsia="Arial" w:hAnsi="Arial"/>
                <w:sz w:val="12"/>
                <w:szCs w:val="12"/>
                <w:color w:val="auto"/>
              </w:rPr>
              <w:t>683,299</w:t>
            </w:r>
          </w:p>
        </w:tc>
      </w:tr>
      <w:tr>
        <w:trPr>
          <w:trHeight w:val="97"/>
        </w:trPr>
        <w:tc>
          <w:tcPr>
            <w:tcW w:w="2300" w:type="dxa"/>
            <w:vAlign w:val="bottom"/>
            <w:tcBorders>
              <w:bottom w:val="single" w:sz="8" w:color="808080"/>
            </w:tcBorders>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0" w:type="dxa"/>
            <w:vAlign w:val="bottom"/>
            <w:tcBorders>
              <w:bottom w:val="single" w:sz="8" w:color="808080"/>
            </w:tcBorders>
            <w:gridSpan w:val="2"/>
          </w:tcPr>
          <w:p>
            <w:pPr>
              <w:spacing w:after="0"/>
              <w:rPr>
                <w:sz w:val="8"/>
                <w:szCs w:val="8"/>
                <w:color w:val="auto"/>
              </w:rPr>
            </w:pPr>
          </w:p>
        </w:tc>
      </w:tr>
      <w:tr>
        <w:trPr>
          <w:trHeight w:val="223"/>
        </w:trPr>
        <w:tc>
          <w:tcPr>
            <w:tcW w:w="2300" w:type="dxa"/>
            <w:vAlign w:val="bottom"/>
          </w:tcPr>
          <w:p>
            <w:pPr>
              <w:spacing w:after="0"/>
              <w:rPr>
                <w:sz w:val="20"/>
                <w:szCs w:val="20"/>
                <w:color w:val="auto"/>
              </w:rPr>
            </w:pPr>
            <w:r>
              <w:rPr>
                <w:rFonts w:ascii="Arial" w:cs="Arial" w:eastAsia="Arial" w:hAnsi="Arial"/>
                <w:sz w:val="12"/>
                <w:szCs w:val="12"/>
                <w:color w:val="auto"/>
              </w:rPr>
              <w:t>William G. Dempsey</w:t>
            </w:r>
          </w:p>
        </w:tc>
        <w:tc>
          <w:tcPr>
            <w:tcW w:w="2460" w:type="dxa"/>
            <w:vAlign w:val="bottom"/>
          </w:tcPr>
          <w:p>
            <w:pPr>
              <w:jc w:val="right"/>
              <w:ind w:right="818"/>
              <w:spacing w:after="0"/>
              <w:rPr>
                <w:sz w:val="20"/>
                <w:szCs w:val="20"/>
                <w:color w:val="auto"/>
              </w:rPr>
            </w:pPr>
            <w:r>
              <w:rPr>
                <w:rFonts w:ascii="Arial" w:cs="Arial" w:eastAsia="Arial" w:hAnsi="Arial"/>
                <w:sz w:val="12"/>
                <w:szCs w:val="12"/>
                <w:color w:val="auto"/>
              </w:rPr>
              <w:t>100,000(3)</w:t>
            </w:r>
          </w:p>
        </w:tc>
        <w:tc>
          <w:tcPr>
            <w:tcW w:w="460" w:type="dxa"/>
            <w:vAlign w:val="bottom"/>
          </w:tcPr>
          <w:p>
            <w:pPr>
              <w:spacing w:after="0"/>
              <w:rPr>
                <w:sz w:val="19"/>
                <w:szCs w:val="19"/>
                <w:color w:val="auto"/>
              </w:rPr>
            </w:pPr>
          </w:p>
        </w:tc>
        <w:tc>
          <w:tcPr>
            <w:tcW w:w="1460" w:type="dxa"/>
            <w:vAlign w:val="bottom"/>
          </w:tcPr>
          <w:p>
            <w:pPr>
              <w:jc w:val="center"/>
              <w:ind w:right="198"/>
              <w:spacing w:after="0"/>
              <w:rPr>
                <w:sz w:val="20"/>
                <w:szCs w:val="20"/>
                <w:color w:val="auto"/>
              </w:rPr>
            </w:pPr>
            <w:r>
              <w:rPr>
                <w:rFonts w:ascii="Arial" w:cs="Arial" w:eastAsia="Arial" w:hAnsi="Arial"/>
                <w:sz w:val="12"/>
                <w:szCs w:val="12"/>
                <w:color w:val="auto"/>
                <w:w w:val="87"/>
              </w:rPr>
              <w:t>0.4%</w:t>
            </w:r>
          </w:p>
        </w:tc>
        <w:tc>
          <w:tcPr>
            <w:tcW w:w="3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93"/>
              </w:rPr>
              <w:t>48.36</w:t>
            </w:r>
          </w:p>
        </w:tc>
        <w:tc>
          <w:tcPr>
            <w:tcW w:w="1040" w:type="dxa"/>
            <w:vAlign w:val="bottom"/>
          </w:tcPr>
          <w:p>
            <w:pPr>
              <w:jc w:val="center"/>
              <w:ind w:left="98"/>
              <w:spacing w:after="0"/>
              <w:rPr>
                <w:sz w:val="20"/>
                <w:szCs w:val="20"/>
                <w:color w:val="auto"/>
              </w:rPr>
            </w:pPr>
            <w:r>
              <w:rPr>
                <w:rFonts w:ascii="Arial" w:cs="Arial" w:eastAsia="Arial" w:hAnsi="Arial"/>
                <w:sz w:val="12"/>
                <w:szCs w:val="12"/>
                <w:color w:val="auto"/>
                <w:w w:val="94"/>
              </w:rPr>
              <w:t>02/08/11</w:t>
            </w:r>
          </w:p>
        </w:tc>
        <w:tc>
          <w:tcPr>
            <w:tcW w:w="2200" w:type="dxa"/>
            <w:vAlign w:val="bottom"/>
            <w:gridSpan w:val="2"/>
          </w:tcPr>
          <w:p>
            <w:pPr>
              <w:jc w:val="right"/>
              <w:ind w:right="398"/>
              <w:spacing w:after="0"/>
              <w:rPr>
                <w:sz w:val="20"/>
                <w:szCs w:val="20"/>
                <w:color w:val="auto"/>
              </w:rPr>
            </w:pPr>
            <w:r>
              <w:rPr>
                <w:rFonts w:ascii="Arial" w:cs="Arial" w:eastAsia="Arial" w:hAnsi="Arial"/>
                <w:sz w:val="12"/>
                <w:szCs w:val="12"/>
                <w:color w:val="auto"/>
              </w:rPr>
              <w:t>3,041,334</w:t>
            </w:r>
          </w:p>
        </w:tc>
      </w:tr>
      <w:tr>
        <w:trPr>
          <w:trHeight w:val="137"/>
        </w:trPr>
        <w:tc>
          <w:tcPr>
            <w:tcW w:w="2300" w:type="dxa"/>
            <w:vAlign w:val="bottom"/>
          </w:tcPr>
          <w:p>
            <w:pPr>
              <w:ind w:left="260"/>
              <w:spacing w:after="0" w:line="137" w:lineRule="exact"/>
              <w:rPr>
                <w:sz w:val="20"/>
                <w:szCs w:val="20"/>
                <w:color w:val="auto"/>
              </w:rPr>
            </w:pPr>
            <w:r>
              <w:rPr>
                <w:rFonts w:ascii="Arial" w:cs="Arial" w:eastAsia="Arial" w:hAnsi="Arial"/>
                <w:sz w:val="12"/>
                <w:szCs w:val="12"/>
                <w:color w:val="auto"/>
              </w:rPr>
              <w:t>Replacement Options:</w:t>
            </w:r>
          </w:p>
        </w:tc>
        <w:tc>
          <w:tcPr>
            <w:tcW w:w="2460" w:type="dxa"/>
            <w:vAlign w:val="bottom"/>
          </w:tcPr>
          <w:p>
            <w:pPr>
              <w:jc w:val="right"/>
              <w:ind w:right="918"/>
              <w:spacing w:after="0" w:line="137" w:lineRule="exact"/>
              <w:rPr>
                <w:sz w:val="20"/>
                <w:szCs w:val="20"/>
                <w:color w:val="auto"/>
              </w:rPr>
            </w:pPr>
            <w:r>
              <w:rPr>
                <w:rFonts w:ascii="Arial" w:cs="Arial" w:eastAsia="Arial" w:hAnsi="Arial"/>
                <w:sz w:val="12"/>
                <w:szCs w:val="12"/>
                <w:color w:val="auto"/>
              </w:rPr>
              <w:t>44,557</w:t>
            </w:r>
          </w:p>
        </w:tc>
        <w:tc>
          <w:tcPr>
            <w:tcW w:w="460" w:type="dxa"/>
            <w:vAlign w:val="bottom"/>
          </w:tcPr>
          <w:p>
            <w:pPr>
              <w:spacing w:after="0"/>
              <w:rPr>
                <w:sz w:val="11"/>
                <w:szCs w:val="11"/>
                <w:color w:val="auto"/>
              </w:rPr>
            </w:pPr>
          </w:p>
        </w:tc>
        <w:tc>
          <w:tcPr>
            <w:tcW w:w="1460" w:type="dxa"/>
            <w:vAlign w:val="bottom"/>
          </w:tcPr>
          <w:p>
            <w:pPr>
              <w:jc w:val="center"/>
              <w:ind w:right="198"/>
              <w:spacing w:after="0" w:line="137" w:lineRule="exact"/>
              <w:rPr>
                <w:sz w:val="20"/>
                <w:szCs w:val="20"/>
                <w:color w:val="auto"/>
              </w:rPr>
            </w:pPr>
            <w:r>
              <w:rPr>
                <w:rFonts w:ascii="Arial" w:cs="Arial" w:eastAsia="Arial" w:hAnsi="Arial"/>
                <w:sz w:val="12"/>
                <w:szCs w:val="12"/>
                <w:color w:val="auto"/>
                <w:w w:val="87"/>
              </w:rPr>
              <w:t>0.2%</w:t>
            </w:r>
          </w:p>
        </w:tc>
        <w:tc>
          <w:tcPr>
            <w:tcW w:w="320" w:type="dxa"/>
            <w:vAlign w:val="bottom"/>
          </w:tcPr>
          <w:p>
            <w:pPr>
              <w:spacing w:after="0"/>
              <w:rPr>
                <w:sz w:val="11"/>
                <w:szCs w:val="11"/>
                <w:color w:val="auto"/>
              </w:rPr>
            </w:pPr>
          </w:p>
        </w:tc>
        <w:tc>
          <w:tcPr>
            <w:tcW w:w="1280" w:type="dxa"/>
            <w:vAlign w:val="bottom"/>
          </w:tcPr>
          <w:p>
            <w:pPr>
              <w:jc w:val="center"/>
              <w:spacing w:after="0" w:line="137" w:lineRule="exact"/>
              <w:rPr>
                <w:sz w:val="20"/>
                <w:szCs w:val="20"/>
                <w:color w:val="auto"/>
              </w:rPr>
            </w:pPr>
            <w:r>
              <w:rPr>
                <w:rFonts w:ascii="Arial" w:cs="Arial" w:eastAsia="Arial" w:hAnsi="Arial"/>
                <w:sz w:val="12"/>
                <w:szCs w:val="12"/>
                <w:color w:val="auto"/>
                <w:w w:val="93"/>
              </w:rPr>
              <w:t>49.38</w:t>
            </w:r>
          </w:p>
        </w:tc>
        <w:tc>
          <w:tcPr>
            <w:tcW w:w="1040" w:type="dxa"/>
            <w:vAlign w:val="bottom"/>
          </w:tcPr>
          <w:p>
            <w:pPr>
              <w:jc w:val="center"/>
              <w:ind w:left="98"/>
              <w:spacing w:after="0" w:line="137" w:lineRule="exact"/>
              <w:rPr>
                <w:sz w:val="20"/>
                <w:szCs w:val="20"/>
                <w:color w:val="auto"/>
              </w:rPr>
            </w:pPr>
            <w:r>
              <w:rPr>
                <w:rFonts w:ascii="Arial" w:cs="Arial" w:eastAsia="Arial" w:hAnsi="Arial"/>
                <w:sz w:val="12"/>
                <w:szCs w:val="12"/>
                <w:color w:val="auto"/>
                <w:w w:val="94"/>
              </w:rPr>
              <w:t>02/12/08</w:t>
            </w:r>
          </w:p>
        </w:tc>
        <w:tc>
          <w:tcPr>
            <w:tcW w:w="2200" w:type="dxa"/>
            <w:vAlign w:val="bottom"/>
            <w:gridSpan w:val="2"/>
          </w:tcPr>
          <w:p>
            <w:pPr>
              <w:jc w:val="right"/>
              <w:ind w:right="398"/>
              <w:spacing w:after="0" w:line="137" w:lineRule="exact"/>
              <w:rPr>
                <w:sz w:val="20"/>
                <w:szCs w:val="20"/>
                <w:color w:val="auto"/>
              </w:rPr>
            </w:pPr>
            <w:r>
              <w:rPr>
                <w:rFonts w:ascii="Arial" w:cs="Arial" w:eastAsia="Arial" w:hAnsi="Arial"/>
                <w:sz w:val="12"/>
                <w:szCs w:val="12"/>
                <w:color w:val="auto"/>
              </w:rPr>
              <w:t>895,712</w:t>
            </w:r>
          </w:p>
        </w:tc>
      </w:tr>
      <w:tr>
        <w:trPr>
          <w:trHeight w:val="137"/>
        </w:trPr>
        <w:tc>
          <w:tcPr>
            <w:tcW w:w="2300" w:type="dxa"/>
            <w:vAlign w:val="bottom"/>
          </w:tcPr>
          <w:p>
            <w:pPr>
              <w:spacing w:after="0"/>
              <w:rPr>
                <w:sz w:val="11"/>
                <w:szCs w:val="11"/>
                <w:color w:val="auto"/>
              </w:rPr>
            </w:pPr>
          </w:p>
        </w:tc>
        <w:tc>
          <w:tcPr>
            <w:tcW w:w="2460" w:type="dxa"/>
            <w:vAlign w:val="bottom"/>
          </w:tcPr>
          <w:p>
            <w:pPr>
              <w:jc w:val="right"/>
              <w:ind w:right="918"/>
              <w:spacing w:after="0" w:line="137" w:lineRule="exact"/>
              <w:rPr>
                <w:sz w:val="20"/>
                <w:szCs w:val="20"/>
                <w:color w:val="auto"/>
              </w:rPr>
            </w:pPr>
            <w:r>
              <w:rPr>
                <w:rFonts w:ascii="Arial" w:cs="Arial" w:eastAsia="Arial" w:hAnsi="Arial"/>
                <w:sz w:val="12"/>
                <w:szCs w:val="12"/>
                <w:color w:val="auto"/>
              </w:rPr>
              <w:t>6,104</w:t>
            </w:r>
          </w:p>
        </w:tc>
        <w:tc>
          <w:tcPr>
            <w:tcW w:w="460" w:type="dxa"/>
            <w:vAlign w:val="bottom"/>
          </w:tcPr>
          <w:p>
            <w:pPr>
              <w:spacing w:after="0"/>
              <w:rPr>
                <w:sz w:val="11"/>
                <w:szCs w:val="11"/>
                <w:color w:val="auto"/>
              </w:rPr>
            </w:pPr>
          </w:p>
        </w:tc>
        <w:tc>
          <w:tcPr>
            <w:tcW w:w="1460" w:type="dxa"/>
            <w:vAlign w:val="bottom"/>
          </w:tcPr>
          <w:p>
            <w:pPr>
              <w:jc w:val="center"/>
              <w:ind w:right="198"/>
              <w:spacing w:after="0" w:line="137" w:lineRule="exact"/>
              <w:rPr>
                <w:sz w:val="20"/>
                <w:szCs w:val="20"/>
                <w:color w:val="auto"/>
              </w:rPr>
            </w:pPr>
            <w:r>
              <w:rPr>
                <w:rFonts w:ascii="Arial" w:cs="Arial" w:eastAsia="Arial" w:hAnsi="Arial"/>
                <w:sz w:val="12"/>
                <w:szCs w:val="12"/>
                <w:color w:val="auto"/>
                <w:w w:val="87"/>
              </w:rPr>
              <w:t>0.0%</w:t>
            </w:r>
          </w:p>
        </w:tc>
        <w:tc>
          <w:tcPr>
            <w:tcW w:w="320" w:type="dxa"/>
            <w:vAlign w:val="bottom"/>
          </w:tcPr>
          <w:p>
            <w:pPr>
              <w:spacing w:after="0"/>
              <w:rPr>
                <w:sz w:val="11"/>
                <w:szCs w:val="11"/>
                <w:color w:val="auto"/>
              </w:rPr>
            </w:pPr>
          </w:p>
        </w:tc>
        <w:tc>
          <w:tcPr>
            <w:tcW w:w="1280" w:type="dxa"/>
            <w:vAlign w:val="bottom"/>
          </w:tcPr>
          <w:p>
            <w:pPr>
              <w:jc w:val="center"/>
              <w:spacing w:after="0" w:line="137" w:lineRule="exact"/>
              <w:rPr>
                <w:sz w:val="20"/>
                <w:szCs w:val="20"/>
                <w:color w:val="auto"/>
              </w:rPr>
            </w:pPr>
            <w:r>
              <w:rPr>
                <w:rFonts w:ascii="Arial" w:cs="Arial" w:eastAsia="Arial" w:hAnsi="Arial"/>
                <w:sz w:val="12"/>
                <w:szCs w:val="12"/>
                <w:color w:val="auto"/>
                <w:w w:val="93"/>
              </w:rPr>
              <w:t>53.61</w:t>
            </w:r>
          </w:p>
        </w:tc>
        <w:tc>
          <w:tcPr>
            <w:tcW w:w="1040" w:type="dxa"/>
            <w:vAlign w:val="bottom"/>
          </w:tcPr>
          <w:p>
            <w:pPr>
              <w:jc w:val="center"/>
              <w:ind w:left="98"/>
              <w:spacing w:after="0" w:line="137" w:lineRule="exact"/>
              <w:rPr>
                <w:sz w:val="20"/>
                <w:szCs w:val="20"/>
                <w:color w:val="auto"/>
              </w:rPr>
            </w:pPr>
            <w:r>
              <w:rPr>
                <w:rFonts w:ascii="Arial" w:cs="Arial" w:eastAsia="Arial" w:hAnsi="Arial"/>
                <w:sz w:val="12"/>
                <w:szCs w:val="12"/>
                <w:color w:val="auto"/>
                <w:w w:val="94"/>
              </w:rPr>
              <w:t>12/01/06</w:t>
            </w:r>
          </w:p>
        </w:tc>
        <w:tc>
          <w:tcPr>
            <w:tcW w:w="2200" w:type="dxa"/>
            <w:vAlign w:val="bottom"/>
            <w:gridSpan w:val="2"/>
          </w:tcPr>
          <w:p>
            <w:pPr>
              <w:jc w:val="right"/>
              <w:ind w:right="398"/>
              <w:spacing w:after="0" w:line="137" w:lineRule="exact"/>
              <w:rPr>
                <w:sz w:val="20"/>
                <w:szCs w:val="20"/>
                <w:color w:val="auto"/>
              </w:rPr>
            </w:pPr>
            <w:r>
              <w:rPr>
                <w:rFonts w:ascii="Arial" w:cs="Arial" w:eastAsia="Arial" w:hAnsi="Arial"/>
                <w:sz w:val="12"/>
                <w:szCs w:val="12"/>
                <w:color w:val="auto"/>
              </w:rPr>
              <w:t>92,497</w:t>
            </w:r>
          </w:p>
        </w:tc>
      </w:tr>
      <w:tr>
        <w:trPr>
          <w:trHeight w:val="137"/>
        </w:trPr>
        <w:tc>
          <w:tcPr>
            <w:tcW w:w="2300" w:type="dxa"/>
            <w:vAlign w:val="bottom"/>
          </w:tcPr>
          <w:p>
            <w:pPr>
              <w:spacing w:after="0"/>
              <w:rPr>
                <w:sz w:val="11"/>
                <w:szCs w:val="11"/>
                <w:color w:val="auto"/>
              </w:rPr>
            </w:pPr>
          </w:p>
        </w:tc>
        <w:tc>
          <w:tcPr>
            <w:tcW w:w="2460" w:type="dxa"/>
            <w:vAlign w:val="bottom"/>
          </w:tcPr>
          <w:p>
            <w:pPr>
              <w:jc w:val="right"/>
              <w:ind w:right="918"/>
              <w:spacing w:after="0" w:line="137" w:lineRule="exact"/>
              <w:rPr>
                <w:sz w:val="20"/>
                <w:szCs w:val="20"/>
                <w:color w:val="auto"/>
              </w:rPr>
            </w:pPr>
            <w:r>
              <w:rPr>
                <w:rFonts w:ascii="Arial" w:cs="Arial" w:eastAsia="Arial" w:hAnsi="Arial"/>
                <w:sz w:val="12"/>
                <w:szCs w:val="12"/>
                <w:color w:val="auto"/>
              </w:rPr>
              <w:t>5,235</w:t>
            </w:r>
          </w:p>
        </w:tc>
        <w:tc>
          <w:tcPr>
            <w:tcW w:w="460" w:type="dxa"/>
            <w:vAlign w:val="bottom"/>
          </w:tcPr>
          <w:p>
            <w:pPr>
              <w:spacing w:after="0"/>
              <w:rPr>
                <w:sz w:val="11"/>
                <w:szCs w:val="11"/>
                <w:color w:val="auto"/>
              </w:rPr>
            </w:pPr>
          </w:p>
        </w:tc>
        <w:tc>
          <w:tcPr>
            <w:tcW w:w="1460" w:type="dxa"/>
            <w:vAlign w:val="bottom"/>
          </w:tcPr>
          <w:p>
            <w:pPr>
              <w:jc w:val="center"/>
              <w:ind w:right="198"/>
              <w:spacing w:after="0" w:line="137" w:lineRule="exact"/>
              <w:rPr>
                <w:sz w:val="20"/>
                <w:szCs w:val="20"/>
                <w:color w:val="auto"/>
              </w:rPr>
            </w:pPr>
            <w:r>
              <w:rPr>
                <w:rFonts w:ascii="Arial" w:cs="Arial" w:eastAsia="Arial" w:hAnsi="Arial"/>
                <w:sz w:val="12"/>
                <w:szCs w:val="12"/>
                <w:color w:val="auto"/>
                <w:w w:val="87"/>
              </w:rPr>
              <w:t>0.0%</w:t>
            </w:r>
          </w:p>
        </w:tc>
        <w:tc>
          <w:tcPr>
            <w:tcW w:w="320" w:type="dxa"/>
            <w:vAlign w:val="bottom"/>
          </w:tcPr>
          <w:p>
            <w:pPr>
              <w:spacing w:after="0"/>
              <w:rPr>
                <w:sz w:val="11"/>
                <w:szCs w:val="11"/>
                <w:color w:val="auto"/>
              </w:rPr>
            </w:pPr>
          </w:p>
        </w:tc>
        <w:tc>
          <w:tcPr>
            <w:tcW w:w="1280" w:type="dxa"/>
            <w:vAlign w:val="bottom"/>
          </w:tcPr>
          <w:p>
            <w:pPr>
              <w:jc w:val="center"/>
              <w:spacing w:after="0" w:line="137" w:lineRule="exact"/>
              <w:rPr>
                <w:sz w:val="20"/>
                <w:szCs w:val="20"/>
                <w:color w:val="auto"/>
              </w:rPr>
            </w:pPr>
            <w:r>
              <w:rPr>
                <w:rFonts w:ascii="Arial" w:cs="Arial" w:eastAsia="Arial" w:hAnsi="Arial"/>
                <w:sz w:val="12"/>
                <w:szCs w:val="12"/>
                <w:color w:val="auto"/>
                <w:w w:val="93"/>
              </w:rPr>
              <w:t>53.61</w:t>
            </w:r>
          </w:p>
        </w:tc>
        <w:tc>
          <w:tcPr>
            <w:tcW w:w="1040" w:type="dxa"/>
            <w:vAlign w:val="bottom"/>
          </w:tcPr>
          <w:p>
            <w:pPr>
              <w:jc w:val="center"/>
              <w:ind w:left="98"/>
              <w:spacing w:after="0" w:line="137" w:lineRule="exact"/>
              <w:rPr>
                <w:sz w:val="20"/>
                <w:szCs w:val="20"/>
                <w:color w:val="auto"/>
              </w:rPr>
            </w:pPr>
            <w:r>
              <w:rPr>
                <w:rFonts w:ascii="Arial" w:cs="Arial" w:eastAsia="Arial" w:hAnsi="Arial"/>
                <w:sz w:val="12"/>
                <w:szCs w:val="12"/>
                <w:color w:val="auto"/>
                <w:w w:val="94"/>
              </w:rPr>
              <w:t>02/13/07</w:t>
            </w:r>
          </w:p>
        </w:tc>
        <w:tc>
          <w:tcPr>
            <w:tcW w:w="2200" w:type="dxa"/>
            <w:vAlign w:val="bottom"/>
            <w:gridSpan w:val="2"/>
          </w:tcPr>
          <w:p>
            <w:pPr>
              <w:jc w:val="right"/>
              <w:ind w:right="398"/>
              <w:spacing w:after="0" w:line="137" w:lineRule="exact"/>
              <w:rPr>
                <w:sz w:val="20"/>
                <w:szCs w:val="20"/>
                <w:color w:val="auto"/>
              </w:rPr>
            </w:pPr>
            <w:r>
              <w:rPr>
                <w:rFonts w:ascii="Arial" w:cs="Arial" w:eastAsia="Arial" w:hAnsi="Arial"/>
                <w:sz w:val="12"/>
                <w:szCs w:val="12"/>
                <w:color w:val="auto"/>
              </w:rPr>
              <w:t>82,911</w:t>
            </w:r>
          </w:p>
        </w:tc>
      </w:tr>
      <w:tr>
        <w:trPr>
          <w:trHeight w:val="137"/>
        </w:trPr>
        <w:tc>
          <w:tcPr>
            <w:tcW w:w="2300" w:type="dxa"/>
            <w:vAlign w:val="bottom"/>
          </w:tcPr>
          <w:p>
            <w:pPr>
              <w:spacing w:after="0"/>
              <w:rPr>
                <w:sz w:val="11"/>
                <w:szCs w:val="11"/>
                <w:color w:val="auto"/>
              </w:rPr>
            </w:pPr>
          </w:p>
        </w:tc>
        <w:tc>
          <w:tcPr>
            <w:tcW w:w="2460" w:type="dxa"/>
            <w:vAlign w:val="bottom"/>
          </w:tcPr>
          <w:p>
            <w:pPr>
              <w:jc w:val="right"/>
              <w:ind w:right="918"/>
              <w:spacing w:after="0" w:line="137" w:lineRule="exact"/>
              <w:rPr>
                <w:sz w:val="20"/>
                <w:szCs w:val="20"/>
                <w:color w:val="auto"/>
              </w:rPr>
            </w:pPr>
            <w:r>
              <w:rPr>
                <w:rFonts w:ascii="Arial" w:cs="Arial" w:eastAsia="Arial" w:hAnsi="Arial"/>
                <w:sz w:val="12"/>
                <w:szCs w:val="12"/>
                <w:color w:val="auto"/>
              </w:rPr>
              <w:t>21,019</w:t>
            </w:r>
          </w:p>
        </w:tc>
        <w:tc>
          <w:tcPr>
            <w:tcW w:w="460" w:type="dxa"/>
            <w:vAlign w:val="bottom"/>
          </w:tcPr>
          <w:p>
            <w:pPr>
              <w:spacing w:after="0"/>
              <w:rPr>
                <w:sz w:val="11"/>
                <w:szCs w:val="11"/>
                <w:color w:val="auto"/>
              </w:rPr>
            </w:pPr>
          </w:p>
        </w:tc>
        <w:tc>
          <w:tcPr>
            <w:tcW w:w="1460" w:type="dxa"/>
            <w:vAlign w:val="bottom"/>
          </w:tcPr>
          <w:p>
            <w:pPr>
              <w:jc w:val="center"/>
              <w:ind w:right="198"/>
              <w:spacing w:after="0" w:line="137" w:lineRule="exact"/>
              <w:rPr>
                <w:sz w:val="20"/>
                <w:szCs w:val="20"/>
                <w:color w:val="auto"/>
              </w:rPr>
            </w:pPr>
            <w:r>
              <w:rPr>
                <w:rFonts w:ascii="Arial" w:cs="Arial" w:eastAsia="Arial" w:hAnsi="Arial"/>
                <w:sz w:val="12"/>
                <w:szCs w:val="12"/>
                <w:color w:val="auto"/>
                <w:w w:val="87"/>
              </w:rPr>
              <w:t>0.1%</w:t>
            </w:r>
          </w:p>
        </w:tc>
        <w:tc>
          <w:tcPr>
            <w:tcW w:w="320" w:type="dxa"/>
            <w:vAlign w:val="bottom"/>
          </w:tcPr>
          <w:p>
            <w:pPr>
              <w:spacing w:after="0"/>
              <w:rPr>
                <w:sz w:val="11"/>
                <w:szCs w:val="11"/>
                <w:color w:val="auto"/>
              </w:rPr>
            </w:pPr>
          </w:p>
        </w:tc>
        <w:tc>
          <w:tcPr>
            <w:tcW w:w="1280" w:type="dxa"/>
            <w:vAlign w:val="bottom"/>
          </w:tcPr>
          <w:p>
            <w:pPr>
              <w:jc w:val="center"/>
              <w:spacing w:after="0" w:line="137" w:lineRule="exact"/>
              <w:rPr>
                <w:sz w:val="20"/>
                <w:szCs w:val="20"/>
                <w:color w:val="auto"/>
              </w:rPr>
            </w:pPr>
            <w:r>
              <w:rPr>
                <w:rFonts w:ascii="Arial" w:cs="Arial" w:eastAsia="Arial" w:hAnsi="Arial"/>
                <w:sz w:val="12"/>
                <w:szCs w:val="12"/>
                <w:color w:val="auto"/>
                <w:w w:val="93"/>
              </w:rPr>
              <w:t>53.61</w:t>
            </w:r>
          </w:p>
        </w:tc>
        <w:tc>
          <w:tcPr>
            <w:tcW w:w="1040" w:type="dxa"/>
            <w:vAlign w:val="bottom"/>
          </w:tcPr>
          <w:p>
            <w:pPr>
              <w:jc w:val="center"/>
              <w:ind w:left="98"/>
              <w:spacing w:after="0" w:line="137" w:lineRule="exact"/>
              <w:rPr>
                <w:sz w:val="20"/>
                <w:szCs w:val="20"/>
                <w:color w:val="auto"/>
              </w:rPr>
            </w:pPr>
            <w:r>
              <w:rPr>
                <w:rFonts w:ascii="Arial" w:cs="Arial" w:eastAsia="Arial" w:hAnsi="Arial"/>
                <w:sz w:val="12"/>
                <w:szCs w:val="12"/>
                <w:color w:val="auto"/>
                <w:w w:val="94"/>
              </w:rPr>
              <w:t>02/12/08</w:t>
            </w:r>
          </w:p>
        </w:tc>
        <w:tc>
          <w:tcPr>
            <w:tcW w:w="2200" w:type="dxa"/>
            <w:vAlign w:val="bottom"/>
            <w:gridSpan w:val="2"/>
          </w:tcPr>
          <w:p>
            <w:pPr>
              <w:jc w:val="right"/>
              <w:ind w:right="398"/>
              <w:spacing w:after="0" w:line="137" w:lineRule="exact"/>
              <w:rPr>
                <w:sz w:val="20"/>
                <w:szCs w:val="20"/>
                <w:color w:val="auto"/>
              </w:rPr>
            </w:pPr>
            <w:r>
              <w:rPr>
                <w:rFonts w:ascii="Arial" w:cs="Arial" w:eastAsia="Arial" w:hAnsi="Arial"/>
                <w:sz w:val="12"/>
                <w:szCs w:val="12"/>
                <w:color w:val="auto"/>
              </w:rPr>
              <w:t>405,880</w:t>
            </w:r>
          </w:p>
        </w:tc>
      </w:tr>
      <w:tr>
        <w:trPr>
          <w:trHeight w:val="157"/>
        </w:trPr>
        <w:tc>
          <w:tcPr>
            <w:tcW w:w="2300" w:type="dxa"/>
            <w:vAlign w:val="bottom"/>
          </w:tcPr>
          <w:p>
            <w:pPr>
              <w:spacing w:after="0"/>
              <w:rPr>
                <w:sz w:val="13"/>
                <w:szCs w:val="13"/>
                <w:color w:val="auto"/>
              </w:rPr>
            </w:pPr>
          </w:p>
        </w:tc>
        <w:tc>
          <w:tcPr>
            <w:tcW w:w="2460" w:type="dxa"/>
            <w:vAlign w:val="bottom"/>
          </w:tcPr>
          <w:p>
            <w:pPr>
              <w:jc w:val="right"/>
              <w:ind w:right="918"/>
              <w:spacing w:after="0"/>
              <w:rPr>
                <w:sz w:val="20"/>
                <w:szCs w:val="20"/>
                <w:color w:val="auto"/>
              </w:rPr>
            </w:pPr>
            <w:r>
              <w:rPr>
                <w:rFonts w:ascii="Arial" w:cs="Arial" w:eastAsia="Arial" w:hAnsi="Arial"/>
                <w:sz w:val="12"/>
                <w:szCs w:val="12"/>
                <w:color w:val="auto"/>
              </w:rPr>
              <w:t>24,027</w:t>
            </w:r>
          </w:p>
        </w:tc>
        <w:tc>
          <w:tcPr>
            <w:tcW w:w="460" w:type="dxa"/>
            <w:vAlign w:val="bottom"/>
          </w:tcPr>
          <w:p>
            <w:pPr>
              <w:spacing w:after="0"/>
              <w:rPr>
                <w:sz w:val="13"/>
                <w:szCs w:val="13"/>
                <w:color w:val="auto"/>
              </w:rPr>
            </w:pPr>
          </w:p>
        </w:tc>
        <w:tc>
          <w:tcPr>
            <w:tcW w:w="1460" w:type="dxa"/>
            <w:vAlign w:val="bottom"/>
          </w:tcPr>
          <w:p>
            <w:pPr>
              <w:jc w:val="center"/>
              <w:ind w:right="198"/>
              <w:spacing w:after="0"/>
              <w:rPr>
                <w:sz w:val="20"/>
                <w:szCs w:val="20"/>
                <w:color w:val="auto"/>
              </w:rPr>
            </w:pPr>
            <w:r>
              <w:rPr>
                <w:rFonts w:ascii="Arial" w:cs="Arial" w:eastAsia="Arial" w:hAnsi="Arial"/>
                <w:sz w:val="12"/>
                <w:szCs w:val="12"/>
                <w:color w:val="auto"/>
                <w:w w:val="87"/>
              </w:rPr>
              <w:t>0.1%</w:t>
            </w:r>
          </w:p>
        </w:tc>
        <w:tc>
          <w:tcPr>
            <w:tcW w:w="3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93"/>
              </w:rPr>
              <w:t>53.61</w:t>
            </w:r>
          </w:p>
        </w:tc>
        <w:tc>
          <w:tcPr>
            <w:tcW w:w="1040" w:type="dxa"/>
            <w:vAlign w:val="bottom"/>
          </w:tcPr>
          <w:p>
            <w:pPr>
              <w:jc w:val="center"/>
              <w:ind w:left="98"/>
              <w:spacing w:after="0"/>
              <w:rPr>
                <w:sz w:val="20"/>
                <w:szCs w:val="20"/>
                <w:color w:val="auto"/>
              </w:rPr>
            </w:pPr>
            <w:r>
              <w:rPr>
                <w:rFonts w:ascii="Arial" w:cs="Arial" w:eastAsia="Arial" w:hAnsi="Arial"/>
                <w:sz w:val="12"/>
                <w:szCs w:val="12"/>
                <w:color w:val="auto"/>
                <w:w w:val="94"/>
              </w:rPr>
              <w:t>02/10/10</w:t>
            </w:r>
          </w:p>
        </w:tc>
        <w:tc>
          <w:tcPr>
            <w:tcW w:w="2200" w:type="dxa"/>
            <w:vAlign w:val="bottom"/>
            <w:gridSpan w:val="2"/>
          </w:tcPr>
          <w:p>
            <w:pPr>
              <w:jc w:val="right"/>
              <w:ind w:right="398"/>
              <w:spacing w:after="0"/>
              <w:rPr>
                <w:sz w:val="20"/>
                <w:szCs w:val="20"/>
                <w:color w:val="auto"/>
              </w:rPr>
            </w:pPr>
            <w:r>
              <w:rPr>
                <w:rFonts w:ascii="Arial" w:cs="Arial" w:eastAsia="Arial" w:hAnsi="Arial"/>
                <w:sz w:val="12"/>
                <w:szCs w:val="12"/>
                <w:color w:val="auto"/>
              </w:rPr>
              <w:t>643,551</w:t>
            </w:r>
          </w:p>
        </w:tc>
      </w:tr>
      <w:tr>
        <w:trPr>
          <w:trHeight w:val="97"/>
        </w:trPr>
        <w:tc>
          <w:tcPr>
            <w:tcW w:w="4760" w:type="dxa"/>
            <w:vAlign w:val="bottom"/>
            <w:tcBorders>
              <w:bottom w:val="single" w:sz="8" w:color="808080"/>
            </w:tcBorders>
            <w:gridSpan w:val="2"/>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0" w:type="dxa"/>
            <w:vAlign w:val="bottom"/>
            <w:tcBorders>
              <w:bottom w:val="single" w:sz="8" w:color="808080"/>
            </w:tcBorders>
            <w:gridSpan w:val="2"/>
          </w:tcPr>
          <w:p>
            <w:pPr>
              <w:spacing w:after="0"/>
              <w:rPr>
                <w:sz w:val="8"/>
                <w:szCs w:val="8"/>
                <w:color w:val="auto"/>
              </w:rPr>
            </w:pPr>
          </w:p>
        </w:tc>
      </w:tr>
      <w:tr>
        <w:trPr>
          <w:trHeight w:val="380"/>
        </w:trPr>
        <w:tc>
          <w:tcPr>
            <w:tcW w:w="5220" w:type="dxa"/>
            <w:vAlign w:val="bottom"/>
            <w:gridSpan w:val="3"/>
          </w:tcPr>
          <w:p>
            <w:pPr>
              <w:spacing w:after="0"/>
              <w:rPr>
                <w:sz w:val="20"/>
                <w:szCs w:val="20"/>
                <w:color w:val="auto"/>
              </w:rPr>
            </w:pPr>
            <w:r>
              <w:rPr>
                <w:rFonts w:ascii="Arial" w:cs="Arial" w:eastAsia="Arial" w:hAnsi="Arial"/>
                <w:sz w:val="12"/>
                <w:szCs w:val="12"/>
                <w:color w:val="auto"/>
              </w:rPr>
              <w:t>Gain for all Shareholders at Assumed Rates for Appreciation (4):</w:t>
            </w: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gridSpan w:val="2"/>
          </w:tcPr>
          <w:p>
            <w:pPr>
              <w:jc w:val="right"/>
              <w:ind w:right="398"/>
              <w:spacing w:after="0"/>
              <w:rPr>
                <w:sz w:val="20"/>
                <w:szCs w:val="20"/>
                <w:color w:val="auto"/>
              </w:rPr>
            </w:pPr>
            <w:r>
              <w:rPr>
                <w:rFonts w:ascii="Arial" w:cs="Arial" w:eastAsia="Arial" w:hAnsi="Arial"/>
                <w:sz w:val="12"/>
                <w:szCs w:val="12"/>
                <w:color w:val="auto"/>
              </w:rPr>
              <w:t>$54,503,192,940</w:t>
            </w:r>
          </w:p>
        </w:tc>
      </w:tr>
      <w:tr>
        <w:trPr>
          <w:trHeight w:val="97"/>
        </w:trPr>
        <w:tc>
          <w:tcPr>
            <w:tcW w:w="2300" w:type="dxa"/>
            <w:vAlign w:val="bottom"/>
            <w:tcBorders>
              <w:bottom w:val="single" w:sz="8" w:color="808080"/>
            </w:tcBorders>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5908040</wp:posOffset>
            </wp:positionH>
            <wp:positionV relativeFrom="paragraph">
              <wp:posOffset>-3662045</wp:posOffset>
            </wp:positionV>
            <wp:extent cx="1270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-3662045</wp:posOffset>
            </wp:positionV>
            <wp:extent cx="1270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6073140</wp:posOffset>
            </wp:positionH>
            <wp:positionV relativeFrom="paragraph">
              <wp:posOffset>-3662045</wp:posOffset>
            </wp:positionV>
            <wp:extent cx="1270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-3031490</wp:posOffset>
            </wp:positionV>
            <wp:extent cx="1270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-2196465</wp:posOffset>
            </wp:positionV>
            <wp:extent cx="1270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-1621155</wp:posOffset>
            </wp:positionV>
            <wp:extent cx="1270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-1392555</wp:posOffset>
            </wp:positionV>
            <wp:extent cx="1270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-990600</wp:posOffset>
            </wp:positionV>
            <wp:extent cx="1270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-328930</wp:posOffset>
            </wp:positionV>
            <wp:extent cx="1270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90" w:lineRule="exact"/>
        <w:rPr>
          <w:sz w:val="20"/>
          <w:szCs w:val="20"/>
          <w:color w:val="auto"/>
        </w:rPr>
      </w:pPr>
    </w:p>
    <w:p>
      <w:pPr>
        <w:ind w:left="501" w:right="800" w:hanging="501"/>
        <w:spacing w:after="0" w:line="362" w:lineRule="auto"/>
        <w:tabs>
          <w:tab w:leader="none" w:pos="501"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amounts assume hypothetical appreciation rates of 5% and 10% over the term of the option, as required by the SEC, and are not intended to forecast the appreciation of the stock price. No gain to the named officers will occur unless the price of Abbott's common shares exceeds the options' exercise price.</w:t>
      </w:r>
    </w:p>
    <w:p>
      <w:pPr>
        <w:spacing w:after="0" w:line="122" w:lineRule="exact"/>
        <w:rPr>
          <w:rFonts w:ascii="Arial" w:cs="Arial" w:eastAsia="Arial" w:hAnsi="Arial"/>
          <w:sz w:val="14"/>
          <w:szCs w:val="14"/>
          <w:color w:val="auto"/>
        </w:rPr>
      </w:pPr>
    </w:p>
    <w:p>
      <w:pPr>
        <w:ind w:left="501" w:right="280" w:hanging="501"/>
        <w:spacing w:after="0" w:line="291" w:lineRule="auto"/>
        <w:tabs>
          <w:tab w:leader="none" w:pos="501"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These options contain a replacement option feature. When the option's exercise price is paid (or, in the case of a non-qualified stock option, when the option's exercise price or the withholding taxes resulting on exercise of that option are paid) with shares of Abbott's common stock, a replacement option is granted for the number of shares used to make that payment. The replacement option has an exercise price equal to the fair market value of Abbott's common stock on the date the replacement option is granted, is exercisable in full six months after the date of grant, and has a term expiring on the expiration date of the original option.</w:t>
      </w:r>
    </w:p>
    <w:p>
      <w:pPr>
        <w:spacing w:after="0" w:line="168" w:lineRule="exact"/>
        <w:rPr>
          <w:rFonts w:ascii="Arial" w:cs="Arial" w:eastAsia="Arial" w:hAnsi="Arial"/>
          <w:sz w:val="15"/>
          <w:szCs w:val="15"/>
          <w:color w:val="auto"/>
        </w:rPr>
      </w:pPr>
    </w:p>
    <w:p>
      <w:pPr>
        <w:ind w:left="501" w:hanging="501"/>
        <w:spacing w:after="0"/>
        <w:tabs>
          <w:tab w:leader="none" w:pos="5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One-third of the shares covered by these options are exercisable after one year; two-thirds after two years; and all after three years.</w:t>
      </w:r>
    </w:p>
    <w:p>
      <w:pPr>
        <w:spacing w:after="0" w:line="237" w:lineRule="exact"/>
        <w:rPr>
          <w:rFonts w:ascii="Arial" w:cs="Arial" w:eastAsia="Arial" w:hAnsi="Arial"/>
          <w:sz w:val="16"/>
          <w:szCs w:val="16"/>
          <w:color w:val="auto"/>
        </w:rPr>
      </w:pPr>
    </w:p>
    <w:p>
      <w:pPr>
        <w:ind w:left="501" w:hanging="501"/>
        <w:spacing w:after="0"/>
        <w:tabs>
          <w:tab w:leader="none" w:pos="501" w:val="left"/>
        </w:tabs>
        <w:numPr>
          <w:ilvl w:val="0"/>
          <w:numId w:val="11"/>
        </w:numPr>
        <w:rPr>
          <w:rFonts w:ascii="Arial" w:cs="Arial" w:eastAsia="Arial" w:hAnsi="Arial"/>
          <w:sz w:val="15"/>
          <w:szCs w:val="15"/>
          <w:color w:val="auto"/>
        </w:rPr>
      </w:pPr>
      <w:r>
        <w:rPr>
          <w:rFonts w:ascii="Arial" w:cs="Arial" w:eastAsia="Arial" w:hAnsi="Arial"/>
          <w:sz w:val="15"/>
          <w:szCs w:val="15"/>
          <w:color w:val="auto"/>
        </w:rPr>
        <w:t>Amounts were determined using total shares outstanding at December 31, 2001 of 1,554,530,292 and a December 31, 2001 closing market price of $55.75 per share.</w:t>
      </w:r>
    </w:p>
    <w:p>
      <w:pPr>
        <w:spacing w:after="0" w:line="200" w:lineRule="exact"/>
        <w:rPr>
          <w:sz w:val="20"/>
          <w:szCs w:val="20"/>
          <w:color w:val="auto"/>
        </w:rPr>
      </w:pPr>
    </w:p>
    <w:p>
      <w:pPr>
        <w:spacing w:after="0" w:line="243"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060" w:type="dxa"/>
            <w:vAlign w:val="bottom"/>
          </w:tcPr>
          <w:p>
            <w:pPr>
              <w:spacing w:after="0"/>
              <w:rPr>
                <w:sz w:val="12"/>
                <w:szCs w:val="12"/>
                <w:color w:val="auto"/>
              </w:rPr>
            </w:pPr>
          </w:p>
        </w:tc>
        <w:tc>
          <w:tcPr>
            <w:tcW w:w="7060" w:type="dxa"/>
            <w:vAlign w:val="bottom"/>
            <w:gridSpan w:val="5"/>
          </w:tcPr>
          <w:p>
            <w:pPr>
              <w:jc w:val="right"/>
              <w:ind w:right="840"/>
              <w:spacing w:after="0"/>
              <w:rPr>
                <w:sz w:val="20"/>
                <w:szCs w:val="20"/>
                <w:color w:val="auto"/>
              </w:rPr>
            </w:pPr>
            <w:r>
              <w:rPr>
                <w:rFonts w:ascii="Arial" w:cs="Arial" w:eastAsia="Arial" w:hAnsi="Arial"/>
                <w:sz w:val="12"/>
                <w:szCs w:val="12"/>
                <w:b w:val="1"/>
                <w:bCs w:val="1"/>
                <w:color w:val="auto"/>
              </w:rPr>
              <w:t>Aggregated Option/SAR Exercises in Last Fiscal Year and Year-end Option/SAR Values</w:t>
            </w:r>
          </w:p>
        </w:tc>
        <w:tc>
          <w:tcPr>
            <w:tcW w:w="2300" w:type="dxa"/>
            <w:vAlign w:val="bottom"/>
          </w:tcPr>
          <w:p>
            <w:pPr>
              <w:spacing w:after="0"/>
              <w:rPr>
                <w:sz w:val="12"/>
                <w:szCs w:val="12"/>
                <w:color w:val="auto"/>
              </w:rPr>
            </w:pPr>
          </w:p>
        </w:tc>
      </w:tr>
      <w:tr>
        <w:trPr>
          <w:trHeight w:val="315"/>
        </w:trPr>
        <w:tc>
          <w:tcPr>
            <w:tcW w:w="2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jc w:val="center"/>
              <w:ind w:left="338"/>
              <w:spacing w:after="0"/>
              <w:rPr>
                <w:sz w:val="20"/>
                <w:szCs w:val="20"/>
                <w:color w:val="auto"/>
              </w:rPr>
            </w:pPr>
            <w:r>
              <w:rPr>
                <w:rFonts w:ascii="Arial" w:cs="Arial" w:eastAsia="Arial" w:hAnsi="Arial"/>
                <w:sz w:val="12"/>
                <w:szCs w:val="12"/>
                <w:b w:val="1"/>
                <w:bCs w:val="1"/>
                <w:color w:val="auto"/>
                <w:w w:val="92"/>
              </w:rPr>
              <w:t>Number of Securities</w:t>
            </w:r>
          </w:p>
        </w:tc>
        <w:tc>
          <w:tcPr>
            <w:tcW w:w="8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37"/>
        </w:trPr>
        <w:tc>
          <w:tcPr>
            <w:tcW w:w="20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800" w:type="dxa"/>
            <w:vAlign w:val="bottom"/>
            <w:gridSpan w:val="2"/>
          </w:tcPr>
          <w:p>
            <w:pPr>
              <w:jc w:val="center"/>
              <w:ind w:right="440"/>
              <w:spacing w:after="0" w:line="137" w:lineRule="exact"/>
              <w:rPr>
                <w:sz w:val="20"/>
                <w:szCs w:val="20"/>
                <w:color w:val="auto"/>
              </w:rPr>
            </w:pPr>
            <w:r>
              <w:rPr>
                <w:rFonts w:ascii="Arial" w:cs="Arial" w:eastAsia="Arial" w:hAnsi="Arial"/>
                <w:sz w:val="12"/>
                <w:szCs w:val="12"/>
                <w:b w:val="1"/>
                <w:bCs w:val="1"/>
                <w:color w:val="auto"/>
                <w:w w:val="93"/>
              </w:rPr>
              <w:t>Underlying Unexercised</w:t>
            </w:r>
          </w:p>
        </w:tc>
        <w:tc>
          <w:tcPr>
            <w:tcW w:w="2300" w:type="dxa"/>
            <w:vAlign w:val="bottom"/>
          </w:tcPr>
          <w:p>
            <w:pPr>
              <w:jc w:val="center"/>
              <w:ind w:left="18"/>
              <w:spacing w:after="0" w:line="137" w:lineRule="exact"/>
              <w:rPr>
                <w:sz w:val="20"/>
                <w:szCs w:val="20"/>
                <w:color w:val="auto"/>
              </w:rPr>
            </w:pPr>
            <w:r>
              <w:rPr>
                <w:rFonts w:ascii="Arial" w:cs="Arial" w:eastAsia="Arial" w:hAnsi="Arial"/>
                <w:sz w:val="12"/>
                <w:szCs w:val="12"/>
                <w:b w:val="1"/>
                <w:bCs w:val="1"/>
                <w:color w:val="auto"/>
                <w:w w:val="90"/>
              </w:rPr>
              <w:t>Value of Unexercised</w:t>
            </w:r>
          </w:p>
        </w:tc>
      </w:tr>
      <w:tr>
        <w:trPr>
          <w:trHeight w:val="137"/>
        </w:trPr>
        <w:tc>
          <w:tcPr>
            <w:tcW w:w="20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800" w:type="dxa"/>
            <w:vAlign w:val="bottom"/>
            <w:gridSpan w:val="2"/>
          </w:tcPr>
          <w:p>
            <w:pPr>
              <w:jc w:val="center"/>
              <w:ind w:right="420"/>
              <w:spacing w:after="0" w:line="137" w:lineRule="exact"/>
              <w:rPr>
                <w:sz w:val="20"/>
                <w:szCs w:val="20"/>
                <w:color w:val="auto"/>
              </w:rPr>
            </w:pPr>
            <w:r>
              <w:rPr>
                <w:rFonts w:ascii="Arial" w:cs="Arial" w:eastAsia="Arial" w:hAnsi="Arial"/>
                <w:sz w:val="12"/>
                <w:szCs w:val="12"/>
                <w:b w:val="1"/>
                <w:bCs w:val="1"/>
                <w:color w:val="auto"/>
                <w:w w:val="95"/>
              </w:rPr>
              <w:t>Options/SARs at</w:t>
            </w:r>
          </w:p>
        </w:tc>
        <w:tc>
          <w:tcPr>
            <w:tcW w:w="2300" w:type="dxa"/>
            <w:vAlign w:val="bottom"/>
          </w:tcPr>
          <w:p>
            <w:pPr>
              <w:jc w:val="center"/>
              <w:ind w:left="18"/>
              <w:spacing w:after="0" w:line="137" w:lineRule="exact"/>
              <w:rPr>
                <w:sz w:val="20"/>
                <w:szCs w:val="20"/>
                <w:color w:val="auto"/>
              </w:rPr>
            </w:pPr>
            <w:r>
              <w:rPr>
                <w:rFonts w:ascii="Arial" w:cs="Arial" w:eastAsia="Arial" w:hAnsi="Arial"/>
                <w:sz w:val="12"/>
                <w:szCs w:val="12"/>
                <w:b w:val="1"/>
                <w:bCs w:val="1"/>
                <w:color w:val="auto"/>
                <w:w w:val="96"/>
              </w:rPr>
              <w:t>In-the-Money Options/</w:t>
            </w:r>
          </w:p>
        </w:tc>
      </w:tr>
      <w:tr>
        <w:trPr>
          <w:trHeight w:val="161"/>
        </w:trPr>
        <w:tc>
          <w:tcPr>
            <w:tcW w:w="20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8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5"/>
              </w:rPr>
              <w:t>Year-end (#)</w:t>
            </w:r>
          </w:p>
        </w:tc>
        <w:tc>
          <w:tcPr>
            <w:tcW w:w="2300" w:type="dxa"/>
            <w:vAlign w:val="bottom"/>
          </w:tcPr>
          <w:p>
            <w:pPr>
              <w:jc w:val="center"/>
              <w:ind w:left="18"/>
              <w:spacing w:after="0"/>
              <w:rPr>
                <w:sz w:val="20"/>
                <w:szCs w:val="20"/>
                <w:color w:val="auto"/>
              </w:rPr>
            </w:pPr>
            <w:r>
              <w:rPr>
                <w:rFonts w:ascii="Arial" w:cs="Arial" w:eastAsia="Arial" w:hAnsi="Arial"/>
                <w:sz w:val="12"/>
                <w:szCs w:val="12"/>
                <w:b w:val="1"/>
                <w:bCs w:val="1"/>
                <w:color w:val="auto"/>
                <w:w w:val="92"/>
              </w:rPr>
              <w:t>SARs at Year-end ($)</w:t>
            </w:r>
          </w:p>
        </w:tc>
      </w:tr>
      <w:tr>
        <w:trPr>
          <w:trHeight w:val="199"/>
        </w:trPr>
        <w:tc>
          <w:tcPr>
            <w:tcW w:w="2060" w:type="dxa"/>
            <w:vAlign w:val="bottom"/>
          </w:tcPr>
          <w:p>
            <w:pPr>
              <w:spacing w:after="0"/>
              <w:rPr>
                <w:sz w:val="17"/>
                <w:szCs w:val="17"/>
                <w:color w:val="auto"/>
              </w:rPr>
            </w:pPr>
          </w:p>
        </w:tc>
        <w:tc>
          <w:tcPr>
            <w:tcW w:w="24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Shares Acquired on</w:t>
            </w:r>
          </w:p>
        </w:tc>
        <w:tc>
          <w:tcPr>
            <w:tcW w:w="18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61"/>
        </w:trPr>
        <w:tc>
          <w:tcPr>
            <w:tcW w:w="206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244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Exercise (#)</w:t>
            </w:r>
          </w:p>
        </w:tc>
        <w:tc>
          <w:tcPr>
            <w:tcW w:w="1820" w:type="dxa"/>
            <w:vAlign w:val="bottom"/>
          </w:tcPr>
          <w:p>
            <w:pPr>
              <w:jc w:val="right"/>
              <w:ind w:right="478"/>
              <w:spacing w:after="0"/>
              <w:rPr>
                <w:sz w:val="20"/>
                <w:szCs w:val="20"/>
                <w:color w:val="auto"/>
              </w:rPr>
            </w:pPr>
            <w:r>
              <w:rPr>
                <w:rFonts w:ascii="Arial" w:cs="Arial" w:eastAsia="Arial" w:hAnsi="Arial"/>
                <w:sz w:val="12"/>
                <w:szCs w:val="12"/>
                <w:b w:val="1"/>
                <w:bCs w:val="1"/>
                <w:color w:val="auto"/>
              </w:rPr>
              <w:t>Value Realized ($)</w:t>
            </w:r>
          </w:p>
        </w:tc>
        <w:tc>
          <w:tcPr>
            <w:tcW w:w="28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1"/>
              </w:rPr>
              <w:t>Exercisable/Unexercisable</w:t>
            </w:r>
          </w:p>
        </w:tc>
        <w:tc>
          <w:tcPr>
            <w:tcW w:w="2300" w:type="dxa"/>
            <w:vAlign w:val="bottom"/>
          </w:tcPr>
          <w:p>
            <w:pPr>
              <w:jc w:val="center"/>
              <w:ind w:left="18"/>
              <w:spacing w:after="0"/>
              <w:rPr>
                <w:sz w:val="20"/>
                <w:szCs w:val="20"/>
                <w:color w:val="auto"/>
              </w:rPr>
            </w:pPr>
            <w:r>
              <w:rPr>
                <w:rFonts w:ascii="Arial" w:cs="Arial" w:eastAsia="Arial" w:hAnsi="Arial"/>
                <w:sz w:val="12"/>
                <w:szCs w:val="12"/>
                <w:b w:val="1"/>
                <w:bCs w:val="1"/>
                <w:color w:val="auto"/>
                <w:w w:val="91"/>
              </w:rPr>
              <w:t>Exercisable/Unexercisable</w:t>
            </w:r>
          </w:p>
        </w:tc>
      </w:tr>
      <w:tr>
        <w:trPr>
          <w:trHeight w:val="320"/>
        </w:trPr>
        <w:tc>
          <w:tcPr>
            <w:tcW w:w="206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12"/>
                <w:szCs w:val="12"/>
                <w:color w:val="auto"/>
              </w:rPr>
              <w:t>Miles D. White</w:t>
            </w:r>
          </w:p>
        </w:tc>
        <w:tc>
          <w:tcPr>
            <w:tcW w:w="2440" w:type="dxa"/>
            <w:vAlign w:val="bottom"/>
            <w:gridSpan w:val="2"/>
          </w:tcPr>
          <w:p>
            <w:pPr>
              <w:jc w:val="right"/>
              <w:ind w:right="300"/>
              <w:spacing w:after="0"/>
              <w:rPr>
                <w:sz w:val="20"/>
                <w:szCs w:val="20"/>
                <w:color w:val="auto"/>
              </w:rPr>
            </w:pPr>
            <w:r>
              <w:rPr>
                <w:rFonts w:ascii="Arial" w:cs="Arial" w:eastAsia="Arial" w:hAnsi="Arial"/>
                <w:sz w:val="12"/>
                <w:szCs w:val="12"/>
                <w:color w:val="auto"/>
              </w:rPr>
              <w:t>284,581</w:t>
            </w:r>
          </w:p>
        </w:tc>
        <w:tc>
          <w:tcPr>
            <w:tcW w:w="1820" w:type="dxa"/>
            <w:vAlign w:val="bottom"/>
          </w:tcPr>
          <w:p>
            <w:pPr>
              <w:jc w:val="right"/>
              <w:ind w:right="438"/>
              <w:spacing w:after="0"/>
              <w:rPr>
                <w:sz w:val="20"/>
                <w:szCs w:val="20"/>
                <w:color w:val="auto"/>
              </w:rPr>
            </w:pPr>
            <w:r>
              <w:rPr>
                <w:rFonts w:ascii="Arial" w:cs="Arial" w:eastAsia="Arial" w:hAnsi="Arial"/>
                <w:sz w:val="12"/>
                <w:szCs w:val="12"/>
                <w:color w:val="auto"/>
              </w:rPr>
              <w:t>$4,824,105</w:t>
            </w:r>
          </w:p>
        </w:tc>
        <w:tc>
          <w:tcPr>
            <w:tcW w:w="2800" w:type="dxa"/>
            <w:vAlign w:val="bottom"/>
            <w:gridSpan w:val="2"/>
          </w:tcPr>
          <w:p>
            <w:pPr>
              <w:jc w:val="right"/>
              <w:ind w:right="500"/>
              <w:spacing w:after="0"/>
              <w:rPr>
                <w:sz w:val="20"/>
                <w:szCs w:val="20"/>
                <w:color w:val="auto"/>
              </w:rPr>
            </w:pPr>
            <w:r>
              <w:rPr>
                <w:rFonts w:ascii="Arial" w:cs="Arial" w:eastAsia="Arial" w:hAnsi="Arial"/>
                <w:sz w:val="12"/>
                <w:szCs w:val="12"/>
                <w:color w:val="auto"/>
              </w:rPr>
              <w:t>907,424 / 941,666</w:t>
            </w:r>
          </w:p>
        </w:tc>
        <w:tc>
          <w:tcPr>
            <w:tcW w:w="2300" w:type="dxa"/>
            <w:vAlign w:val="bottom"/>
          </w:tcPr>
          <w:p>
            <w:pPr>
              <w:jc w:val="right"/>
              <w:spacing w:after="0"/>
              <w:rPr>
                <w:sz w:val="20"/>
                <w:szCs w:val="20"/>
                <w:color w:val="auto"/>
              </w:rPr>
            </w:pPr>
            <w:r>
              <w:rPr>
                <w:rFonts w:ascii="Arial" w:cs="Arial" w:eastAsia="Arial" w:hAnsi="Arial"/>
                <w:sz w:val="12"/>
                <w:szCs w:val="12"/>
                <w:color w:val="auto"/>
              </w:rPr>
              <w:t>$9,420,035 / $11,423,243</w:t>
            </w:r>
          </w:p>
        </w:tc>
      </w:tr>
      <w:tr>
        <w:trPr>
          <w:trHeight w:val="97"/>
        </w:trPr>
        <w:tc>
          <w:tcPr>
            <w:tcW w:w="206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12"/>
                <w:szCs w:val="12"/>
                <w:color w:val="auto"/>
              </w:rPr>
              <w:t>Richard A. Gonzalez</w:t>
            </w:r>
          </w:p>
        </w:tc>
        <w:tc>
          <w:tcPr>
            <w:tcW w:w="2440" w:type="dxa"/>
            <w:vAlign w:val="bottom"/>
            <w:gridSpan w:val="2"/>
          </w:tcPr>
          <w:p>
            <w:pPr>
              <w:jc w:val="right"/>
              <w:ind w:right="300"/>
              <w:spacing w:after="0"/>
              <w:rPr>
                <w:sz w:val="20"/>
                <w:szCs w:val="20"/>
                <w:color w:val="auto"/>
              </w:rPr>
            </w:pPr>
            <w:r>
              <w:rPr>
                <w:rFonts w:ascii="Arial" w:cs="Arial" w:eastAsia="Arial" w:hAnsi="Arial"/>
                <w:sz w:val="12"/>
                <w:szCs w:val="12"/>
                <w:color w:val="auto"/>
              </w:rPr>
              <w:t>109,626</w:t>
            </w:r>
          </w:p>
        </w:tc>
        <w:tc>
          <w:tcPr>
            <w:tcW w:w="1820" w:type="dxa"/>
            <w:vAlign w:val="bottom"/>
          </w:tcPr>
          <w:p>
            <w:pPr>
              <w:jc w:val="right"/>
              <w:ind w:right="438"/>
              <w:spacing w:after="0"/>
              <w:rPr>
                <w:sz w:val="20"/>
                <w:szCs w:val="20"/>
                <w:color w:val="auto"/>
              </w:rPr>
            </w:pPr>
            <w:r>
              <w:rPr>
                <w:rFonts w:ascii="Arial" w:cs="Arial" w:eastAsia="Arial" w:hAnsi="Arial"/>
                <w:sz w:val="12"/>
                <w:szCs w:val="12"/>
                <w:color w:val="auto"/>
              </w:rPr>
              <w:t>1,802,459</w:t>
            </w:r>
          </w:p>
        </w:tc>
        <w:tc>
          <w:tcPr>
            <w:tcW w:w="2800" w:type="dxa"/>
            <w:vAlign w:val="bottom"/>
            <w:gridSpan w:val="2"/>
          </w:tcPr>
          <w:p>
            <w:pPr>
              <w:jc w:val="right"/>
              <w:ind w:right="500"/>
              <w:spacing w:after="0"/>
              <w:rPr>
                <w:sz w:val="20"/>
                <w:szCs w:val="20"/>
                <w:color w:val="auto"/>
              </w:rPr>
            </w:pPr>
            <w:r>
              <w:rPr>
                <w:rFonts w:ascii="Arial" w:cs="Arial" w:eastAsia="Arial" w:hAnsi="Arial"/>
                <w:sz w:val="12"/>
                <w:szCs w:val="12"/>
                <w:color w:val="auto"/>
              </w:rPr>
              <w:t>163,073 / 402,115</w:t>
            </w:r>
          </w:p>
        </w:tc>
        <w:tc>
          <w:tcPr>
            <w:tcW w:w="2300" w:type="dxa"/>
            <w:vAlign w:val="bottom"/>
          </w:tcPr>
          <w:p>
            <w:pPr>
              <w:jc w:val="right"/>
              <w:spacing w:after="0"/>
              <w:rPr>
                <w:sz w:val="20"/>
                <w:szCs w:val="20"/>
                <w:color w:val="auto"/>
              </w:rPr>
            </w:pPr>
            <w:r>
              <w:rPr>
                <w:rFonts w:ascii="Arial" w:cs="Arial" w:eastAsia="Arial" w:hAnsi="Arial"/>
                <w:sz w:val="12"/>
                <w:szCs w:val="12"/>
                <w:color w:val="auto"/>
              </w:rPr>
              <w:t>2,011,645 /  3,764,721</w:t>
            </w:r>
          </w:p>
        </w:tc>
      </w:tr>
      <w:tr>
        <w:trPr>
          <w:trHeight w:val="97"/>
        </w:trPr>
        <w:tc>
          <w:tcPr>
            <w:tcW w:w="206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-470535</wp:posOffset>
            </wp:positionV>
            <wp:extent cx="1270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-470535</wp:posOffset>
            </wp:positionV>
            <wp:extent cx="1270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-241935</wp:posOffset>
            </wp:positionV>
            <wp:extent cx="1270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-241935</wp:posOffset>
            </wp:positionV>
            <wp:extent cx="1270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87" w:orient="portrait"/>
          <w:cols w:equalWidth="0" w:num="1">
            <w:col w:w="11521"/>
          </w:cols>
          <w:pgMar w:left="239" w:top="131" w:right="139" w:bottom="0" w:gutter="0" w:footer="0" w:header="0"/>
        </w:sectPr>
      </w:pPr>
    </w:p>
    <w:p>
      <w:pPr>
        <w:spacing w:after="0" w:line="87" w:lineRule="exact"/>
        <w:rPr>
          <w:sz w:val="20"/>
          <w:szCs w:val="20"/>
          <w:color w:val="auto"/>
        </w:rPr>
      </w:pPr>
    </w:p>
    <w:p>
      <w:pPr>
        <w:ind w:left="1"/>
        <w:spacing w:after="0"/>
        <w:tabs>
          <w:tab w:leader="none" w:pos="4120" w:val="left"/>
          <w:tab w:leader="none" w:pos="5740" w:val="left"/>
          <w:tab w:leader="none" w:pos="7760" w:val="left"/>
          <w:tab w:leader="none" w:pos="10320" w:val="left"/>
          <w:tab w:leader="none" w:pos="10920" w:val="left"/>
        </w:tabs>
        <w:rPr>
          <w:sz w:val="20"/>
          <w:szCs w:val="20"/>
          <w:color w:val="auto"/>
        </w:rPr>
      </w:pPr>
      <w:r>
        <w:rPr>
          <w:rFonts w:ascii="Arial" w:cs="Arial" w:eastAsia="Arial" w:hAnsi="Arial"/>
          <w:sz w:val="12"/>
          <w:szCs w:val="12"/>
          <w:color w:val="auto"/>
        </w:rPr>
        <w:t>Jeffrey M. Leiden, M.D., Ph.D.</w:t>
      </w:r>
      <w:r>
        <w:rPr>
          <w:sz w:val="20"/>
          <w:szCs w:val="20"/>
          <w:color w:val="auto"/>
        </w:rPr>
        <w:tab/>
      </w:r>
      <w:r>
        <w:rPr>
          <w:rFonts w:ascii="Arial" w:cs="Arial" w:eastAsia="Arial" w:hAnsi="Arial"/>
          <w:sz w:val="12"/>
          <w:szCs w:val="12"/>
          <w:color w:val="auto"/>
        </w:rPr>
        <w:t>0</w:t>
      </w:r>
      <w:r>
        <w:rPr>
          <w:sz w:val="20"/>
          <w:szCs w:val="20"/>
          <w:color w:val="auto"/>
        </w:rPr>
        <w:tab/>
      </w:r>
      <w:r>
        <w:rPr>
          <w:rFonts w:ascii="Arial" w:cs="Arial" w:eastAsia="Arial" w:hAnsi="Arial"/>
          <w:sz w:val="12"/>
          <w:szCs w:val="12"/>
          <w:color w:val="auto"/>
        </w:rPr>
        <w:t>0</w:t>
      </w:r>
      <w:r>
        <w:rPr>
          <w:sz w:val="20"/>
          <w:szCs w:val="20"/>
          <w:color w:val="auto"/>
        </w:rPr>
        <w:tab/>
      </w:r>
      <w:r>
        <w:rPr>
          <w:rFonts w:ascii="Arial" w:cs="Arial" w:eastAsia="Arial" w:hAnsi="Arial"/>
          <w:sz w:val="12"/>
          <w:szCs w:val="12"/>
          <w:color w:val="auto"/>
        </w:rPr>
        <w:t>50,000 / 350,000</w:t>
      </w:r>
      <w:r>
        <w:rPr>
          <w:sz w:val="20"/>
          <w:szCs w:val="20"/>
          <w:color w:val="auto"/>
        </w:rPr>
        <w:tab/>
      </w:r>
      <w:r>
        <w:rPr>
          <w:rFonts w:ascii="Arial" w:cs="Arial" w:eastAsia="Arial" w:hAnsi="Arial"/>
          <w:sz w:val="12"/>
          <w:szCs w:val="12"/>
          <w:color w:val="auto"/>
        </w:rPr>
        <w:t>654,500 /</w:t>
      </w:r>
      <w:r>
        <w:rPr>
          <w:sz w:val="20"/>
          <w:szCs w:val="20"/>
          <w:color w:val="auto"/>
        </w:rPr>
        <w:tab/>
      </w:r>
      <w:r>
        <w:rPr>
          <w:rFonts w:ascii="Arial" w:cs="Arial" w:eastAsia="Arial" w:hAnsi="Arial"/>
          <w:sz w:val="10"/>
          <w:szCs w:val="10"/>
          <w:color w:val="auto"/>
        </w:rPr>
        <w:t>3,156,500</w:t>
      </w:r>
    </w:p>
    <w:p>
      <w:pPr>
        <w:sectPr>
          <w:pgSz w:w="11900" w:h="16887" w:orient="portrait"/>
          <w:cols w:equalWidth="0" w:num="1">
            <w:col w:w="11521"/>
          </w:cols>
          <w:pgMar w:left="239" w:top="131" w:right="139" w:bottom="0" w:gutter="0" w:footer="0" w:header="0"/>
          <w:type w:val="continuous"/>
        </w:sectPr>
      </w:pPr>
    </w:p>
    <w:bookmarkStart w:id="11" w:name="page12"/>
    <w:bookmarkEnd w:id="11"/>
    <w:tbl>
      <w:tblPr>
        <w:tblLayout w:type="fixed"/>
        <w:tblInd w:w="1" w:type="dxa"/>
        <w:tblCellMar>
          <w:top w:w="0" w:type="dxa"/>
          <w:left w:w="0" w:type="dxa"/>
          <w:bottom w:w="0" w:type="dxa"/>
          <w:right w:w="0" w:type="dxa"/>
        </w:tblCellMar>
      </w:tblPr>
      <w:tr>
        <w:trPr>
          <w:trHeight w:val="157"/>
        </w:trPr>
        <w:tc>
          <w:tcPr>
            <w:tcW w:w="2460" w:type="dxa"/>
            <w:vAlign w:val="bottom"/>
          </w:tcPr>
          <w:p>
            <w:pPr>
              <w:spacing w:after="0"/>
              <w:rPr>
                <w:sz w:val="20"/>
                <w:szCs w:val="20"/>
                <w:color w:val="auto"/>
              </w:rPr>
            </w:pPr>
            <w:r>
              <w:rPr>
                <w:rFonts w:ascii="Arial" w:cs="Arial" w:eastAsia="Arial" w:hAnsi="Arial"/>
                <w:sz w:val="12"/>
                <w:szCs w:val="12"/>
                <w:color w:val="auto"/>
              </w:rPr>
              <w:t>Christopher B. Begley</w:t>
            </w:r>
          </w:p>
        </w:tc>
        <w:tc>
          <w:tcPr>
            <w:tcW w:w="2300" w:type="dxa"/>
            <w:vAlign w:val="bottom"/>
          </w:tcPr>
          <w:p>
            <w:pPr>
              <w:jc w:val="right"/>
              <w:ind w:right="498"/>
              <w:spacing w:after="0"/>
              <w:rPr>
                <w:sz w:val="20"/>
                <w:szCs w:val="20"/>
                <w:color w:val="auto"/>
              </w:rPr>
            </w:pPr>
            <w:r>
              <w:rPr>
                <w:rFonts w:ascii="Arial" w:cs="Arial" w:eastAsia="Arial" w:hAnsi="Arial"/>
                <w:sz w:val="12"/>
                <w:szCs w:val="12"/>
                <w:color w:val="auto"/>
              </w:rPr>
              <w:t>70,000</w:t>
            </w:r>
          </w:p>
        </w:tc>
        <w:tc>
          <w:tcPr>
            <w:tcW w:w="2000" w:type="dxa"/>
            <w:vAlign w:val="bottom"/>
          </w:tcPr>
          <w:p>
            <w:pPr>
              <w:jc w:val="right"/>
              <w:ind w:right="878"/>
              <w:spacing w:after="0"/>
              <w:rPr>
                <w:sz w:val="20"/>
                <w:szCs w:val="20"/>
                <w:color w:val="auto"/>
              </w:rPr>
            </w:pPr>
            <w:r>
              <w:rPr>
                <w:rFonts w:ascii="Arial" w:cs="Arial" w:eastAsia="Arial" w:hAnsi="Arial"/>
                <w:sz w:val="12"/>
                <w:szCs w:val="12"/>
                <w:color w:val="auto"/>
              </w:rPr>
              <w:t>958,700</w:t>
            </w:r>
          </w:p>
        </w:tc>
        <w:tc>
          <w:tcPr>
            <w:tcW w:w="2660" w:type="dxa"/>
            <w:vAlign w:val="bottom"/>
          </w:tcPr>
          <w:p>
            <w:pPr>
              <w:jc w:val="right"/>
              <w:ind w:right="738"/>
              <w:spacing w:after="0"/>
              <w:rPr>
                <w:sz w:val="20"/>
                <w:szCs w:val="20"/>
                <w:color w:val="auto"/>
              </w:rPr>
            </w:pPr>
            <w:r>
              <w:rPr>
                <w:rFonts w:ascii="Arial" w:cs="Arial" w:eastAsia="Arial" w:hAnsi="Arial"/>
                <w:sz w:val="12"/>
                <w:szCs w:val="12"/>
                <w:color w:val="auto"/>
              </w:rPr>
              <w:t>215,997 / 177,666</w:t>
            </w: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2,382,219 /</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2,203,023</w:t>
            </w:r>
          </w:p>
        </w:tc>
      </w:tr>
      <w:tr>
        <w:trPr>
          <w:trHeight w:val="97"/>
        </w:trPr>
        <w:tc>
          <w:tcPr>
            <w:tcW w:w="2460" w:type="dxa"/>
            <w:vAlign w:val="bottom"/>
            <w:tcBorders>
              <w:bottom w:val="single" w:sz="8" w:color="808080"/>
            </w:tcBorders>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266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r>
      <w:tr>
        <w:trPr>
          <w:trHeight w:val="243"/>
        </w:trPr>
        <w:tc>
          <w:tcPr>
            <w:tcW w:w="2460" w:type="dxa"/>
            <w:vAlign w:val="bottom"/>
          </w:tcPr>
          <w:p>
            <w:pPr>
              <w:spacing w:after="0"/>
              <w:rPr>
                <w:sz w:val="20"/>
                <w:szCs w:val="20"/>
                <w:color w:val="auto"/>
              </w:rPr>
            </w:pPr>
            <w:r>
              <w:rPr>
                <w:rFonts w:ascii="Arial" w:cs="Arial" w:eastAsia="Arial" w:hAnsi="Arial"/>
                <w:sz w:val="12"/>
                <w:szCs w:val="12"/>
                <w:color w:val="auto"/>
              </w:rPr>
              <w:t>William G. Dempsey</w:t>
            </w:r>
          </w:p>
        </w:tc>
        <w:tc>
          <w:tcPr>
            <w:tcW w:w="2300" w:type="dxa"/>
            <w:vAlign w:val="bottom"/>
          </w:tcPr>
          <w:p>
            <w:pPr>
              <w:jc w:val="right"/>
              <w:ind w:right="498"/>
              <w:spacing w:after="0"/>
              <w:rPr>
                <w:sz w:val="20"/>
                <w:szCs w:val="20"/>
                <w:color w:val="auto"/>
              </w:rPr>
            </w:pPr>
            <w:r>
              <w:rPr>
                <w:rFonts w:ascii="Arial" w:cs="Arial" w:eastAsia="Arial" w:hAnsi="Arial"/>
                <w:sz w:val="12"/>
                <w:szCs w:val="12"/>
                <w:color w:val="auto"/>
              </w:rPr>
              <w:t>161,529</w:t>
            </w:r>
          </w:p>
        </w:tc>
        <w:tc>
          <w:tcPr>
            <w:tcW w:w="2000" w:type="dxa"/>
            <w:vAlign w:val="bottom"/>
          </w:tcPr>
          <w:p>
            <w:pPr>
              <w:jc w:val="right"/>
              <w:ind w:right="878"/>
              <w:spacing w:after="0"/>
              <w:rPr>
                <w:sz w:val="20"/>
                <w:szCs w:val="20"/>
                <w:color w:val="auto"/>
              </w:rPr>
            </w:pPr>
            <w:r>
              <w:rPr>
                <w:rFonts w:ascii="Arial" w:cs="Arial" w:eastAsia="Arial" w:hAnsi="Arial"/>
                <w:sz w:val="12"/>
                <w:szCs w:val="12"/>
                <w:color w:val="auto"/>
              </w:rPr>
              <w:t>3,147,308</w:t>
            </w:r>
          </w:p>
        </w:tc>
        <w:tc>
          <w:tcPr>
            <w:tcW w:w="2660" w:type="dxa"/>
            <w:vAlign w:val="bottom"/>
          </w:tcPr>
          <w:p>
            <w:pPr>
              <w:jc w:val="right"/>
              <w:ind w:right="738"/>
              <w:spacing w:after="0"/>
              <w:rPr>
                <w:sz w:val="20"/>
                <w:szCs w:val="20"/>
                <w:color w:val="auto"/>
              </w:rPr>
            </w:pPr>
            <w:r>
              <w:rPr>
                <w:rFonts w:ascii="Arial" w:cs="Arial" w:eastAsia="Arial" w:hAnsi="Arial"/>
                <w:sz w:val="12"/>
                <w:szCs w:val="12"/>
                <w:color w:val="auto"/>
              </w:rPr>
              <w:t>157,890 / 239,718</w:t>
            </w:r>
          </w:p>
        </w:tc>
        <w:tc>
          <w:tcPr>
            <w:tcW w:w="1460" w:type="dxa"/>
            <w:vAlign w:val="bottom"/>
          </w:tcPr>
          <w:p>
            <w:pPr>
              <w:jc w:val="right"/>
              <w:ind w:right="18"/>
              <w:spacing w:after="0"/>
              <w:rPr>
                <w:sz w:val="20"/>
                <w:szCs w:val="20"/>
                <w:color w:val="auto"/>
              </w:rPr>
            </w:pPr>
            <w:r>
              <w:rPr>
                <w:rFonts w:ascii="Arial" w:cs="Arial" w:eastAsia="Arial" w:hAnsi="Arial"/>
                <w:sz w:val="12"/>
                <w:szCs w:val="12"/>
                <w:color w:val="auto"/>
              </w:rPr>
              <w:t>1,764,758 /</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2,368,360</w:t>
            </w:r>
          </w:p>
        </w:tc>
      </w:tr>
      <w:tr>
        <w:trPr>
          <w:trHeight w:val="97"/>
        </w:trPr>
        <w:tc>
          <w:tcPr>
            <w:tcW w:w="2460" w:type="dxa"/>
            <w:vAlign w:val="bottom"/>
            <w:tcBorders>
              <w:bottom w:val="single" w:sz="8" w:color="808080"/>
            </w:tcBorders>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266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r>
      <w:tr>
        <w:trPr>
          <w:trHeight w:val="203"/>
        </w:trPr>
        <w:tc>
          <w:tcPr>
            <w:tcW w:w="2460" w:type="dxa"/>
            <w:vAlign w:val="bottom"/>
            <w:tcBorders>
              <w:bottom w:val="single" w:sz="8" w:color="808080"/>
            </w:tcBorders>
          </w:tcPr>
          <w:p>
            <w:pPr>
              <w:spacing w:after="0"/>
              <w:rPr>
                <w:sz w:val="17"/>
                <w:szCs w:val="17"/>
                <w:color w:val="auto"/>
              </w:rPr>
            </w:pPr>
          </w:p>
        </w:tc>
        <w:tc>
          <w:tcPr>
            <w:tcW w:w="2300" w:type="dxa"/>
            <w:vAlign w:val="bottom"/>
            <w:tcBorders>
              <w:bottom w:val="single" w:sz="8" w:color="808080"/>
            </w:tcBorders>
          </w:tcPr>
          <w:p>
            <w:pPr>
              <w:spacing w:after="0"/>
              <w:rPr>
                <w:sz w:val="17"/>
                <w:szCs w:val="17"/>
                <w:color w:val="auto"/>
              </w:rPr>
            </w:pPr>
          </w:p>
        </w:tc>
        <w:tc>
          <w:tcPr>
            <w:tcW w:w="2000" w:type="dxa"/>
            <w:vAlign w:val="bottom"/>
            <w:tcBorders>
              <w:bottom w:val="single" w:sz="8" w:color="808080"/>
            </w:tcBorders>
          </w:tcPr>
          <w:p>
            <w:pPr>
              <w:spacing w:after="0"/>
              <w:rPr>
                <w:sz w:val="17"/>
                <w:szCs w:val="17"/>
                <w:color w:val="auto"/>
              </w:rPr>
            </w:pPr>
          </w:p>
        </w:tc>
        <w:tc>
          <w:tcPr>
            <w:tcW w:w="2660" w:type="dxa"/>
            <w:vAlign w:val="bottom"/>
            <w:tcBorders>
              <w:bottom w:val="single" w:sz="8" w:color="808080"/>
            </w:tcBorders>
          </w:tcPr>
          <w:p>
            <w:pPr>
              <w:spacing w:after="0"/>
              <w:rPr>
                <w:sz w:val="17"/>
                <w:szCs w:val="17"/>
                <w:color w:val="auto"/>
              </w:rPr>
            </w:pPr>
          </w:p>
        </w:tc>
        <w:tc>
          <w:tcPr>
            <w:tcW w:w="146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62495" cy="18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2495" cy="1841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-384175</wp:posOffset>
            </wp:positionV>
            <wp:extent cx="1270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-384175</wp:posOffset>
            </wp:positionV>
            <wp:extent cx="1270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-155575</wp:posOffset>
            </wp:positionV>
            <wp:extent cx="1270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-155575</wp:posOffset>
            </wp:positionV>
            <wp:extent cx="1270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
        <w:spacing w:after="0"/>
        <w:rPr>
          <w:sz w:val="20"/>
          <w:szCs w:val="20"/>
          <w:color w:val="auto"/>
        </w:rPr>
      </w:pPr>
      <w:r>
        <w:rPr>
          <w:rFonts w:ascii="Arial" w:cs="Arial" w:eastAsia="Arial" w:hAnsi="Arial"/>
          <w:sz w:val="16"/>
          <w:szCs w:val="16"/>
          <w:color w:val="2B85FF"/>
        </w:rPr>
        <w:t>Pension and Retirement Arrangements</w:t>
      </w:r>
    </w:p>
    <w:p>
      <w:pPr>
        <w:spacing w:after="0" w:line="213" w:lineRule="exact"/>
        <w:rPr>
          <w:sz w:val="20"/>
          <w:szCs w:val="20"/>
          <w:color w:val="auto"/>
        </w:rPr>
      </w:pPr>
    </w:p>
    <w:p>
      <w:pPr>
        <w:jc w:val="both"/>
        <w:ind w:left="1" w:right="360"/>
        <w:spacing w:after="0" w:line="273" w:lineRule="auto"/>
        <w:rPr>
          <w:sz w:val="20"/>
          <w:szCs w:val="20"/>
          <w:color w:val="auto"/>
        </w:rPr>
      </w:pPr>
      <w:r>
        <w:rPr>
          <w:rFonts w:ascii="Arial" w:cs="Arial" w:eastAsia="Arial" w:hAnsi="Arial"/>
          <w:sz w:val="16"/>
          <w:szCs w:val="16"/>
          <w:color w:val="auto"/>
        </w:rPr>
        <w:t>Abbott and certain subsidiaries maintain a defined benefit pension plan known as the Abbott Laboratories Annuity Retirement Plan covering most employees in the United States, age 21 or older. Pension benefits are generally based on service and eligible earnings for the 60 consecutive months within the final 120 months of employment for which eligible earnings were highest. Pension benefits are partially offset for Social Security benefits.</w:t>
      </w:r>
    </w:p>
    <w:p>
      <w:pPr>
        <w:spacing w:after="0" w:line="166" w:lineRule="exact"/>
        <w:rPr>
          <w:sz w:val="20"/>
          <w:szCs w:val="20"/>
          <w:color w:val="auto"/>
        </w:rPr>
      </w:pPr>
    </w:p>
    <w:p>
      <w:pPr>
        <w:ind w:left="1" w:right="520"/>
        <w:spacing w:after="0" w:line="287" w:lineRule="auto"/>
        <w:rPr>
          <w:sz w:val="20"/>
          <w:szCs w:val="20"/>
          <w:color w:val="auto"/>
        </w:rPr>
      </w:pPr>
      <w:r>
        <w:rPr>
          <w:rFonts w:ascii="Arial" w:cs="Arial" w:eastAsia="Arial" w:hAnsi="Arial"/>
          <w:sz w:val="16"/>
          <w:szCs w:val="16"/>
          <w:color w:val="auto"/>
        </w:rPr>
        <w:t>The following table shows the estimated annual benefits payable to employees upon normal retirement. The amounts shown are computed on a straight life annuity basis without giving effect to Social Security offsets and include supplemental benefits under a nonqualified supplemental pension plan.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2B85FF"/>
        </w:rPr>
        <w:t>Pension Plan Table</w:t>
      </w:r>
    </w:p>
    <w:p>
      <w:pPr>
        <w:spacing w:after="0" w:line="209"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00" w:type="dxa"/>
            <w:vAlign w:val="bottom"/>
          </w:tcPr>
          <w:p>
            <w:pPr>
              <w:jc w:val="right"/>
              <w:ind w:right="538"/>
              <w:spacing w:after="0"/>
              <w:rPr>
                <w:sz w:val="20"/>
                <w:szCs w:val="20"/>
                <w:color w:val="auto"/>
              </w:rPr>
            </w:pPr>
            <w:r>
              <w:rPr>
                <w:rFonts w:ascii="Arial" w:cs="Arial" w:eastAsia="Arial" w:hAnsi="Arial"/>
                <w:sz w:val="12"/>
                <w:szCs w:val="12"/>
                <w:b w:val="1"/>
                <w:bCs w:val="1"/>
                <w:color w:val="auto"/>
                <w:w w:val="94"/>
              </w:rPr>
              <w:t>Years of Service</w:t>
            </w: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97"/>
        </w:trPr>
        <w:tc>
          <w:tcPr>
            <w:tcW w:w="1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r>
      <w:tr>
        <w:trPr>
          <w:trHeight w:val="243"/>
        </w:trPr>
        <w:tc>
          <w:tcPr>
            <w:tcW w:w="140" w:type="dxa"/>
            <w:vAlign w:val="bottom"/>
          </w:tcPr>
          <w:p>
            <w:pPr>
              <w:spacing w:after="0"/>
              <w:rPr>
                <w:sz w:val="21"/>
                <w:szCs w:val="21"/>
                <w:color w:val="auto"/>
              </w:rPr>
            </w:pPr>
          </w:p>
        </w:tc>
        <w:tc>
          <w:tcPr>
            <w:tcW w:w="1120" w:type="dxa"/>
            <w:vAlign w:val="bottom"/>
          </w:tcPr>
          <w:p>
            <w:pPr>
              <w:jc w:val="right"/>
              <w:ind w:right="278"/>
              <w:spacing w:after="0"/>
              <w:rPr>
                <w:sz w:val="20"/>
                <w:szCs w:val="20"/>
                <w:color w:val="auto"/>
              </w:rPr>
            </w:pPr>
            <w:r>
              <w:rPr>
                <w:rFonts w:ascii="Arial" w:cs="Arial" w:eastAsia="Arial" w:hAnsi="Arial"/>
                <w:sz w:val="12"/>
                <w:szCs w:val="12"/>
                <w:color w:val="auto"/>
              </w:rPr>
              <w:t>Remuneration</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ind w:left="220"/>
              <w:spacing w:after="0"/>
              <w:rPr>
                <w:sz w:val="20"/>
                <w:szCs w:val="20"/>
                <w:color w:val="auto"/>
              </w:rPr>
            </w:pPr>
            <w:r>
              <w:rPr>
                <w:rFonts w:ascii="Arial" w:cs="Arial" w:eastAsia="Arial" w:hAnsi="Arial"/>
                <w:sz w:val="12"/>
                <w:szCs w:val="12"/>
                <w:color w:val="auto"/>
              </w:rPr>
              <w:t>15</w:t>
            </w:r>
          </w:p>
        </w:tc>
        <w:tc>
          <w:tcPr>
            <w:tcW w:w="860" w:type="dxa"/>
            <w:vAlign w:val="bottom"/>
          </w:tcPr>
          <w:p>
            <w:pPr>
              <w:spacing w:after="0"/>
              <w:rPr>
                <w:sz w:val="21"/>
                <w:szCs w:val="21"/>
                <w:color w:val="auto"/>
              </w:rPr>
            </w:pPr>
          </w:p>
        </w:tc>
        <w:tc>
          <w:tcPr>
            <w:tcW w:w="1320" w:type="dxa"/>
            <w:vAlign w:val="bottom"/>
          </w:tcPr>
          <w:p>
            <w:pPr>
              <w:jc w:val="right"/>
              <w:ind w:right="858"/>
              <w:spacing w:after="0"/>
              <w:rPr>
                <w:sz w:val="20"/>
                <w:szCs w:val="20"/>
                <w:color w:val="auto"/>
              </w:rPr>
            </w:pPr>
            <w:r>
              <w:rPr>
                <w:rFonts w:ascii="Arial" w:cs="Arial" w:eastAsia="Arial" w:hAnsi="Arial"/>
                <w:sz w:val="12"/>
                <w:szCs w:val="12"/>
                <w:color w:val="auto"/>
              </w:rPr>
              <w:t>20</w:t>
            </w:r>
          </w:p>
        </w:tc>
        <w:tc>
          <w:tcPr>
            <w:tcW w:w="700" w:type="dxa"/>
            <w:vAlign w:val="bottom"/>
          </w:tcPr>
          <w:p>
            <w:pPr>
              <w:spacing w:after="0"/>
              <w:rPr>
                <w:sz w:val="21"/>
                <w:szCs w:val="21"/>
                <w:color w:val="auto"/>
              </w:rPr>
            </w:pPr>
          </w:p>
        </w:tc>
        <w:tc>
          <w:tcPr>
            <w:tcW w:w="1500" w:type="dxa"/>
            <w:vAlign w:val="bottom"/>
          </w:tcPr>
          <w:p>
            <w:pPr>
              <w:jc w:val="right"/>
              <w:ind w:right="858"/>
              <w:spacing w:after="0"/>
              <w:rPr>
                <w:sz w:val="20"/>
                <w:szCs w:val="20"/>
                <w:color w:val="auto"/>
              </w:rPr>
            </w:pPr>
            <w:r>
              <w:rPr>
                <w:rFonts w:ascii="Arial" w:cs="Arial" w:eastAsia="Arial" w:hAnsi="Arial"/>
                <w:sz w:val="12"/>
                <w:szCs w:val="12"/>
                <w:color w:val="auto"/>
              </w:rPr>
              <w:t>25</w:t>
            </w:r>
          </w:p>
        </w:tc>
        <w:tc>
          <w:tcPr>
            <w:tcW w:w="880" w:type="dxa"/>
            <w:vAlign w:val="bottom"/>
          </w:tcPr>
          <w:p>
            <w:pPr>
              <w:spacing w:after="0"/>
              <w:rPr>
                <w:sz w:val="21"/>
                <w:szCs w:val="21"/>
                <w:color w:val="auto"/>
              </w:rPr>
            </w:pPr>
          </w:p>
        </w:tc>
        <w:tc>
          <w:tcPr>
            <w:tcW w:w="1320" w:type="dxa"/>
            <w:vAlign w:val="bottom"/>
          </w:tcPr>
          <w:p>
            <w:pPr>
              <w:jc w:val="right"/>
              <w:ind w:right="858"/>
              <w:spacing w:after="0"/>
              <w:rPr>
                <w:sz w:val="20"/>
                <w:szCs w:val="20"/>
                <w:color w:val="auto"/>
              </w:rPr>
            </w:pPr>
            <w:r>
              <w:rPr>
                <w:rFonts w:ascii="Arial" w:cs="Arial" w:eastAsia="Arial" w:hAnsi="Arial"/>
                <w:sz w:val="12"/>
                <w:szCs w:val="12"/>
                <w:color w:val="auto"/>
              </w:rPr>
              <w:t>30</w:t>
            </w:r>
          </w:p>
        </w:tc>
        <w:tc>
          <w:tcPr>
            <w:tcW w:w="900" w:type="dxa"/>
            <w:vAlign w:val="bottom"/>
          </w:tcPr>
          <w:p>
            <w:pPr>
              <w:spacing w:after="0"/>
              <w:rPr>
                <w:sz w:val="21"/>
                <w:szCs w:val="21"/>
                <w:color w:val="auto"/>
              </w:rPr>
            </w:pPr>
          </w:p>
        </w:tc>
        <w:tc>
          <w:tcPr>
            <w:tcW w:w="740" w:type="dxa"/>
            <w:vAlign w:val="bottom"/>
          </w:tcPr>
          <w:p>
            <w:pPr>
              <w:jc w:val="right"/>
              <w:ind w:right="278"/>
              <w:spacing w:after="0"/>
              <w:rPr>
                <w:sz w:val="20"/>
                <w:szCs w:val="20"/>
                <w:color w:val="auto"/>
              </w:rPr>
            </w:pPr>
            <w:r>
              <w:rPr>
                <w:rFonts w:ascii="Arial" w:cs="Arial" w:eastAsia="Arial" w:hAnsi="Arial"/>
                <w:sz w:val="12"/>
                <w:szCs w:val="12"/>
                <w:color w:val="auto"/>
              </w:rPr>
              <w:t>35</w:t>
            </w:r>
          </w:p>
        </w:tc>
      </w:tr>
      <w:tr>
        <w:trPr>
          <w:trHeight w:val="97"/>
        </w:trPr>
        <w:tc>
          <w:tcPr>
            <w:tcW w:w="1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r>
      <w:tr>
        <w:trPr>
          <w:trHeight w:val="223"/>
        </w:trPr>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900,000</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20" w:type="dxa"/>
            <w:vAlign w:val="bottom"/>
          </w:tcPr>
          <w:p>
            <w:pPr>
              <w:ind w:left="240"/>
              <w:spacing w:after="0"/>
              <w:rPr>
                <w:sz w:val="20"/>
                <w:szCs w:val="20"/>
                <w:color w:val="auto"/>
              </w:rPr>
            </w:pPr>
            <w:r>
              <w:rPr>
                <w:rFonts w:ascii="Arial" w:cs="Arial" w:eastAsia="Arial" w:hAnsi="Arial"/>
                <w:sz w:val="12"/>
                <w:szCs w:val="12"/>
                <w:color w:val="auto"/>
              </w:rPr>
              <w:t>303,750</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518"/>
              <w:spacing w:after="0"/>
              <w:rPr>
                <w:sz w:val="20"/>
                <w:szCs w:val="20"/>
                <w:color w:val="auto"/>
              </w:rPr>
            </w:pPr>
            <w:r>
              <w:rPr>
                <w:rFonts w:ascii="Arial" w:cs="Arial" w:eastAsia="Arial" w:hAnsi="Arial"/>
                <w:sz w:val="12"/>
                <w:szCs w:val="12"/>
                <w:color w:val="auto"/>
              </w:rPr>
              <w:t>405,000</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518"/>
              <w:spacing w:after="0"/>
              <w:rPr>
                <w:sz w:val="20"/>
                <w:szCs w:val="20"/>
                <w:color w:val="auto"/>
              </w:rPr>
            </w:pPr>
            <w:r>
              <w:rPr>
                <w:rFonts w:ascii="Arial" w:cs="Arial" w:eastAsia="Arial" w:hAnsi="Arial"/>
                <w:sz w:val="12"/>
                <w:szCs w:val="12"/>
                <w:color w:val="auto"/>
              </w:rPr>
              <w:t>472,500</w:t>
            </w:r>
          </w:p>
        </w:tc>
        <w:tc>
          <w:tcPr>
            <w:tcW w:w="88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518"/>
              <w:spacing w:after="0"/>
              <w:rPr>
                <w:sz w:val="20"/>
                <w:szCs w:val="20"/>
                <w:color w:val="auto"/>
              </w:rPr>
            </w:pPr>
            <w:r>
              <w:rPr>
                <w:rFonts w:ascii="Arial" w:cs="Arial" w:eastAsia="Arial" w:hAnsi="Arial"/>
                <w:sz w:val="12"/>
                <w:szCs w:val="12"/>
                <w:color w:val="auto"/>
              </w:rPr>
              <w:t>499,500</w:t>
            </w:r>
          </w:p>
        </w:tc>
        <w:tc>
          <w:tcPr>
            <w:tcW w:w="9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499,500</w:t>
            </w:r>
          </w:p>
        </w:tc>
      </w:tr>
      <w:tr>
        <w:trPr>
          <w:trHeight w:val="137"/>
        </w:trPr>
        <w:tc>
          <w:tcPr>
            <w:tcW w:w="140" w:type="dxa"/>
            <w:vAlign w:val="bottom"/>
          </w:tcPr>
          <w:p>
            <w:pPr>
              <w:spacing w:after="0"/>
              <w:rPr>
                <w:sz w:val="11"/>
                <w:szCs w:val="11"/>
                <w:color w:val="auto"/>
              </w:rPr>
            </w:pPr>
          </w:p>
        </w:tc>
        <w:tc>
          <w:tcPr>
            <w:tcW w:w="1120" w:type="dxa"/>
            <w:vAlign w:val="bottom"/>
          </w:tcPr>
          <w:p>
            <w:pPr>
              <w:jc w:val="right"/>
              <w:ind w:right="218"/>
              <w:spacing w:after="0" w:line="137" w:lineRule="exact"/>
              <w:rPr>
                <w:sz w:val="20"/>
                <w:szCs w:val="20"/>
                <w:color w:val="auto"/>
              </w:rPr>
            </w:pPr>
            <w:r>
              <w:rPr>
                <w:rFonts w:ascii="Arial" w:cs="Arial" w:eastAsia="Arial" w:hAnsi="Arial"/>
                <w:sz w:val="12"/>
                <w:szCs w:val="12"/>
                <w:color w:val="auto"/>
              </w:rPr>
              <w:t>1,100,000</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ind w:left="240"/>
              <w:spacing w:after="0" w:line="137" w:lineRule="exact"/>
              <w:rPr>
                <w:sz w:val="20"/>
                <w:szCs w:val="20"/>
                <w:color w:val="auto"/>
              </w:rPr>
            </w:pPr>
            <w:r>
              <w:rPr>
                <w:rFonts w:ascii="Arial" w:cs="Arial" w:eastAsia="Arial" w:hAnsi="Arial"/>
                <w:sz w:val="12"/>
                <w:szCs w:val="12"/>
                <w:color w:val="auto"/>
              </w:rPr>
              <w:t>371,250</w:t>
            </w:r>
          </w:p>
        </w:tc>
        <w:tc>
          <w:tcPr>
            <w:tcW w:w="860" w:type="dxa"/>
            <w:vAlign w:val="bottom"/>
          </w:tcPr>
          <w:p>
            <w:pPr>
              <w:spacing w:after="0"/>
              <w:rPr>
                <w:sz w:val="11"/>
                <w:szCs w:val="11"/>
                <w:color w:val="auto"/>
              </w:rPr>
            </w:pPr>
          </w:p>
        </w:tc>
        <w:tc>
          <w:tcPr>
            <w:tcW w:w="132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495,000</w:t>
            </w:r>
          </w:p>
        </w:tc>
        <w:tc>
          <w:tcPr>
            <w:tcW w:w="700" w:type="dxa"/>
            <w:vAlign w:val="bottom"/>
          </w:tcPr>
          <w:p>
            <w:pPr>
              <w:spacing w:after="0"/>
              <w:rPr>
                <w:sz w:val="11"/>
                <w:szCs w:val="11"/>
                <w:color w:val="auto"/>
              </w:rPr>
            </w:pPr>
          </w:p>
        </w:tc>
        <w:tc>
          <w:tcPr>
            <w:tcW w:w="150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577,500</w:t>
            </w:r>
          </w:p>
        </w:tc>
        <w:tc>
          <w:tcPr>
            <w:tcW w:w="880" w:type="dxa"/>
            <w:vAlign w:val="bottom"/>
          </w:tcPr>
          <w:p>
            <w:pPr>
              <w:spacing w:after="0"/>
              <w:rPr>
                <w:sz w:val="11"/>
                <w:szCs w:val="11"/>
                <w:color w:val="auto"/>
              </w:rPr>
            </w:pPr>
          </w:p>
        </w:tc>
        <w:tc>
          <w:tcPr>
            <w:tcW w:w="132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610,500</w:t>
            </w:r>
          </w:p>
        </w:tc>
        <w:tc>
          <w:tcPr>
            <w:tcW w:w="90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Arial" w:cs="Arial" w:eastAsia="Arial" w:hAnsi="Arial"/>
                <w:sz w:val="12"/>
                <w:szCs w:val="12"/>
                <w:color w:val="auto"/>
              </w:rPr>
              <w:t>610,500</w:t>
            </w:r>
          </w:p>
        </w:tc>
      </w:tr>
      <w:tr>
        <w:trPr>
          <w:trHeight w:val="137"/>
        </w:trPr>
        <w:tc>
          <w:tcPr>
            <w:tcW w:w="140" w:type="dxa"/>
            <w:vAlign w:val="bottom"/>
          </w:tcPr>
          <w:p>
            <w:pPr>
              <w:spacing w:after="0"/>
              <w:rPr>
                <w:sz w:val="11"/>
                <w:szCs w:val="11"/>
                <w:color w:val="auto"/>
              </w:rPr>
            </w:pPr>
          </w:p>
        </w:tc>
        <w:tc>
          <w:tcPr>
            <w:tcW w:w="1120" w:type="dxa"/>
            <w:vAlign w:val="bottom"/>
          </w:tcPr>
          <w:p>
            <w:pPr>
              <w:jc w:val="right"/>
              <w:ind w:right="218"/>
              <w:spacing w:after="0" w:line="137" w:lineRule="exact"/>
              <w:rPr>
                <w:sz w:val="20"/>
                <w:szCs w:val="20"/>
                <w:color w:val="auto"/>
              </w:rPr>
            </w:pPr>
            <w:r>
              <w:rPr>
                <w:rFonts w:ascii="Arial" w:cs="Arial" w:eastAsia="Arial" w:hAnsi="Arial"/>
                <w:sz w:val="12"/>
                <w:szCs w:val="12"/>
                <w:color w:val="auto"/>
              </w:rPr>
              <w:t>1,300,000</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ind w:left="240"/>
              <w:spacing w:after="0" w:line="137" w:lineRule="exact"/>
              <w:rPr>
                <w:sz w:val="20"/>
                <w:szCs w:val="20"/>
                <w:color w:val="auto"/>
              </w:rPr>
            </w:pPr>
            <w:r>
              <w:rPr>
                <w:rFonts w:ascii="Arial" w:cs="Arial" w:eastAsia="Arial" w:hAnsi="Arial"/>
                <w:sz w:val="12"/>
                <w:szCs w:val="12"/>
                <w:color w:val="auto"/>
              </w:rPr>
              <w:t>438,750</w:t>
            </w:r>
          </w:p>
        </w:tc>
        <w:tc>
          <w:tcPr>
            <w:tcW w:w="860" w:type="dxa"/>
            <w:vAlign w:val="bottom"/>
          </w:tcPr>
          <w:p>
            <w:pPr>
              <w:spacing w:after="0"/>
              <w:rPr>
                <w:sz w:val="11"/>
                <w:szCs w:val="11"/>
                <w:color w:val="auto"/>
              </w:rPr>
            </w:pPr>
          </w:p>
        </w:tc>
        <w:tc>
          <w:tcPr>
            <w:tcW w:w="132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585,000</w:t>
            </w:r>
          </w:p>
        </w:tc>
        <w:tc>
          <w:tcPr>
            <w:tcW w:w="700" w:type="dxa"/>
            <w:vAlign w:val="bottom"/>
          </w:tcPr>
          <w:p>
            <w:pPr>
              <w:spacing w:after="0"/>
              <w:rPr>
                <w:sz w:val="11"/>
                <w:szCs w:val="11"/>
                <w:color w:val="auto"/>
              </w:rPr>
            </w:pPr>
          </w:p>
        </w:tc>
        <w:tc>
          <w:tcPr>
            <w:tcW w:w="150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682,500</w:t>
            </w:r>
          </w:p>
        </w:tc>
        <w:tc>
          <w:tcPr>
            <w:tcW w:w="880" w:type="dxa"/>
            <w:vAlign w:val="bottom"/>
          </w:tcPr>
          <w:p>
            <w:pPr>
              <w:spacing w:after="0"/>
              <w:rPr>
                <w:sz w:val="11"/>
                <w:szCs w:val="11"/>
                <w:color w:val="auto"/>
              </w:rPr>
            </w:pPr>
          </w:p>
        </w:tc>
        <w:tc>
          <w:tcPr>
            <w:tcW w:w="132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721,500</w:t>
            </w:r>
          </w:p>
        </w:tc>
        <w:tc>
          <w:tcPr>
            <w:tcW w:w="90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Arial" w:cs="Arial" w:eastAsia="Arial" w:hAnsi="Arial"/>
                <w:sz w:val="12"/>
                <w:szCs w:val="12"/>
                <w:color w:val="auto"/>
              </w:rPr>
              <w:t>721,500</w:t>
            </w:r>
          </w:p>
        </w:tc>
      </w:tr>
      <w:tr>
        <w:trPr>
          <w:trHeight w:val="137"/>
        </w:trPr>
        <w:tc>
          <w:tcPr>
            <w:tcW w:w="140" w:type="dxa"/>
            <w:vAlign w:val="bottom"/>
          </w:tcPr>
          <w:p>
            <w:pPr>
              <w:spacing w:after="0"/>
              <w:rPr>
                <w:sz w:val="11"/>
                <w:szCs w:val="11"/>
                <w:color w:val="auto"/>
              </w:rPr>
            </w:pPr>
          </w:p>
        </w:tc>
        <w:tc>
          <w:tcPr>
            <w:tcW w:w="1120" w:type="dxa"/>
            <w:vAlign w:val="bottom"/>
          </w:tcPr>
          <w:p>
            <w:pPr>
              <w:jc w:val="right"/>
              <w:ind w:right="218"/>
              <w:spacing w:after="0" w:line="137" w:lineRule="exact"/>
              <w:rPr>
                <w:sz w:val="20"/>
                <w:szCs w:val="20"/>
                <w:color w:val="auto"/>
              </w:rPr>
            </w:pPr>
            <w:r>
              <w:rPr>
                <w:rFonts w:ascii="Arial" w:cs="Arial" w:eastAsia="Arial" w:hAnsi="Arial"/>
                <w:sz w:val="12"/>
                <w:szCs w:val="12"/>
                <w:color w:val="auto"/>
              </w:rPr>
              <w:t>1,500,000</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ind w:left="240"/>
              <w:spacing w:after="0" w:line="137" w:lineRule="exact"/>
              <w:rPr>
                <w:sz w:val="20"/>
                <w:szCs w:val="20"/>
                <w:color w:val="auto"/>
              </w:rPr>
            </w:pPr>
            <w:r>
              <w:rPr>
                <w:rFonts w:ascii="Arial" w:cs="Arial" w:eastAsia="Arial" w:hAnsi="Arial"/>
                <w:sz w:val="12"/>
                <w:szCs w:val="12"/>
                <w:color w:val="auto"/>
              </w:rPr>
              <w:t>506,250</w:t>
            </w:r>
          </w:p>
        </w:tc>
        <w:tc>
          <w:tcPr>
            <w:tcW w:w="860" w:type="dxa"/>
            <w:vAlign w:val="bottom"/>
          </w:tcPr>
          <w:p>
            <w:pPr>
              <w:spacing w:after="0"/>
              <w:rPr>
                <w:sz w:val="11"/>
                <w:szCs w:val="11"/>
                <w:color w:val="auto"/>
              </w:rPr>
            </w:pPr>
          </w:p>
        </w:tc>
        <w:tc>
          <w:tcPr>
            <w:tcW w:w="132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675,000</w:t>
            </w:r>
          </w:p>
        </w:tc>
        <w:tc>
          <w:tcPr>
            <w:tcW w:w="700" w:type="dxa"/>
            <w:vAlign w:val="bottom"/>
          </w:tcPr>
          <w:p>
            <w:pPr>
              <w:spacing w:after="0"/>
              <w:rPr>
                <w:sz w:val="11"/>
                <w:szCs w:val="11"/>
                <w:color w:val="auto"/>
              </w:rPr>
            </w:pPr>
          </w:p>
        </w:tc>
        <w:tc>
          <w:tcPr>
            <w:tcW w:w="150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787,500</w:t>
            </w:r>
          </w:p>
        </w:tc>
        <w:tc>
          <w:tcPr>
            <w:tcW w:w="880" w:type="dxa"/>
            <w:vAlign w:val="bottom"/>
          </w:tcPr>
          <w:p>
            <w:pPr>
              <w:spacing w:after="0"/>
              <w:rPr>
                <w:sz w:val="11"/>
                <w:szCs w:val="11"/>
                <w:color w:val="auto"/>
              </w:rPr>
            </w:pPr>
          </w:p>
        </w:tc>
        <w:tc>
          <w:tcPr>
            <w:tcW w:w="132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832,500</w:t>
            </w:r>
          </w:p>
        </w:tc>
        <w:tc>
          <w:tcPr>
            <w:tcW w:w="90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Arial" w:cs="Arial" w:eastAsia="Arial" w:hAnsi="Arial"/>
                <w:sz w:val="12"/>
                <w:szCs w:val="12"/>
                <w:color w:val="auto"/>
              </w:rPr>
              <w:t>832,500</w:t>
            </w:r>
          </w:p>
        </w:tc>
      </w:tr>
      <w:tr>
        <w:trPr>
          <w:trHeight w:val="137"/>
        </w:trPr>
        <w:tc>
          <w:tcPr>
            <w:tcW w:w="140" w:type="dxa"/>
            <w:vAlign w:val="bottom"/>
          </w:tcPr>
          <w:p>
            <w:pPr>
              <w:spacing w:after="0"/>
              <w:rPr>
                <w:sz w:val="11"/>
                <w:szCs w:val="11"/>
                <w:color w:val="auto"/>
              </w:rPr>
            </w:pPr>
          </w:p>
        </w:tc>
        <w:tc>
          <w:tcPr>
            <w:tcW w:w="1120" w:type="dxa"/>
            <w:vAlign w:val="bottom"/>
          </w:tcPr>
          <w:p>
            <w:pPr>
              <w:jc w:val="right"/>
              <w:ind w:right="218"/>
              <w:spacing w:after="0" w:line="137" w:lineRule="exact"/>
              <w:rPr>
                <w:sz w:val="20"/>
                <w:szCs w:val="20"/>
                <w:color w:val="auto"/>
              </w:rPr>
            </w:pPr>
            <w:r>
              <w:rPr>
                <w:rFonts w:ascii="Arial" w:cs="Arial" w:eastAsia="Arial" w:hAnsi="Arial"/>
                <w:sz w:val="12"/>
                <w:szCs w:val="12"/>
                <w:color w:val="auto"/>
              </w:rPr>
              <w:t>1,700,000</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ind w:left="240"/>
              <w:spacing w:after="0" w:line="137" w:lineRule="exact"/>
              <w:rPr>
                <w:sz w:val="20"/>
                <w:szCs w:val="20"/>
                <w:color w:val="auto"/>
              </w:rPr>
            </w:pPr>
            <w:r>
              <w:rPr>
                <w:rFonts w:ascii="Arial" w:cs="Arial" w:eastAsia="Arial" w:hAnsi="Arial"/>
                <w:sz w:val="12"/>
                <w:szCs w:val="12"/>
                <w:color w:val="auto"/>
              </w:rPr>
              <w:t>573,750</w:t>
            </w:r>
          </w:p>
        </w:tc>
        <w:tc>
          <w:tcPr>
            <w:tcW w:w="860" w:type="dxa"/>
            <w:vAlign w:val="bottom"/>
          </w:tcPr>
          <w:p>
            <w:pPr>
              <w:spacing w:after="0"/>
              <w:rPr>
                <w:sz w:val="11"/>
                <w:szCs w:val="11"/>
                <w:color w:val="auto"/>
              </w:rPr>
            </w:pPr>
          </w:p>
        </w:tc>
        <w:tc>
          <w:tcPr>
            <w:tcW w:w="132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765,000</w:t>
            </w:r>
          </w:p>
        </w:tc>
        <w:tc>
          <w:tcPr>
            <w:tcW w:w="700" w:type="dxa"/>
            <w:vAlign w:val="bottom"/>
          </w:tcPr>
          <w:p>
            <w:pPr>
              <w:spacing w:after="0"/>
              <w:rPr>
                <w:sz w:val="11"/>
                <w:szCs w:val="11"/>
                <w:color w:val="auto"/>
              </w:rPr>
            </w:pPr>
          </w:p>
        </w:tc>
        <w:tc>
          <w:tcPr>
            <w:tcW w:w="150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892,500</w:t>
            </w:r>
          </w:p>
        </w:tc>
        <w:tc>
          <w:tcPr>
            <w:tcW w:w="880" w:type="dxa"/>
            <w:vAlign w:val="bottom"/>
          </w:tcPr>
          <w:p>
            <w:pPr>
              <w:spacing w:after="0"/>
              <w:rPr>
                <w:sz w:val="11"/>
                <w:szCs w:val="11"/>
                <w:color w:val="auto"/>
              </w:rPr>
            </w:pPr>
          </w:p>
        </w:tc>
        <w:tc>
          <w:tcPr>
            <w:tcW w:w="132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943,500</w:t>
            </w:r>
          </w:p>
        </w:tc>
        <w:tc>
          <w:tcPr>
            <w:tcW w:w="90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Arial" w:cs="Arial" w:eastAsia="Arial" w:hAnsi="Arial"/>
                <w:sz w:val="12"/>
                <w:szCs w:val="12"/>
                <w:color w:val="auto"/>
              </w:rPr>
              <w:t>943,500</w:t>
            </w:r>
          </w:p>
        </w:tc>
      </w:tr>
      <w:tr>
        <w:trPr>
          <w:trHeight w:val="137"/>
        </w:trPr>
        <w:tc>
          <w:tcPr>
            <w:tcW w:w="140" w:type="dxa"/>
            <w:vAlign w:val="bottom"/>
          </w:tcPr>
          <w:p>
            <w:pPr>
              <w:spacing w:after="0"/>
              <w:rPr>
                <w:sz w:val="11"/>
                <w:szCs w:val="11"/>
                <w:color w:val="auto"/>
              </w:rPr>
            </w:pPr>
          </w:p>
        </w:tc>
        <w:tc>
          <w:tcPr>
            <w:tcW w:w="1120" w:type="dxa"/>
            <w:vAlign w:val="bottom"/>
          </w:tcPr>
          <w:p>
            <w:pPr>
              <w:jc w:val="right"/>
              <w:ind w:right="218"/>
              <w:spacing w:after="0" w:line="137" w:lineRule="exact"/>
              <w:rPr>
                <w:sz w:val="20"/>
                <w:szCs w:val="20"/>
                <w:color w:val="auto"/>
              </w:rPr>
            </w:pPr>
            <w:r>
              <w:rPr>
                <w:rFonts w:ascii="Arial" w:cs="Arial" w:eastAsia="Arial" w:hAnsi="Arial"/>
                <w:sz w:val="12"/>
                <w:szCs w:val="12"/>
                <w:color w:val="auto"/>
              </w:rPr>
              <w:t>1,900,000</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ind w:left="240"/>
              <w:spacing w:after="0" w:line="137" w:lineRule="exact"/>
              <w:rPr>
                <w:sz w:val="20"/>
                <w:szCs w:val="20"/>
                <w:color w:val="auto"/>
              </w:rPr>
            </w:pPr>
            <w:r>
              <w:rPr>
                <w:rFonts w:ascii="Arial" w:cs="Arial" w:eastAsia="Arial" w:hAnsi="Arial"/>
                <w:sz w:val="12"/>
                <w:szCs w:val="12"/>
                <w:color w:val="auto"/>
              </w:rPr>
              <w:t>641,250</w:t>
            </w:r>
          </w:p>
        </w:tc>
        <w:tc>
          <w:tcPr>
            <w:tcW w:w="860" w:type="dxa"/>
            <w:vAlign w:val="bottom"/>
          </w:tcPr>
          <w:p>
            <w:pPr>
              <w:spacing w:after="0"/>
              <w:rPr>
                <w:sz w:val="11"/>
                <w:szCs w:val="11"/>
                <w:color w:val="auto"/>
              </w:rPr>
            </w:pPr>
          </w:p>
        </w:tc>
        <w:tc>
          <w:tcPr>
            <w:tcW w:w="132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855,000</w:t>
            </w:r>
          </w:p>
        </w:tc>
        <w:tc>
          <w:tcPr>
            <w:tcW w:w="700" w:type="dxa"/>
            <w:vAlign w:val="bottom"/>
          </w:tcPr>
          <w:p>
            <w:pPr>
              <w:spacing w:after="0"/>
              <w:rPr>
                <w:sz w:val="11"/>
                <w:szCs w:val="11"/>
                <w:color w:val="auto"/>
              </w:rPr>
            </w:pPr>
          </w:p>
        </w:tc>
        <w:tc>
          <w:tcPr>
            <w:tcW w:w="150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997,500</w:t>
            </w:r>
          </w:p>
        </w:tc>
        <w:tc>
          <w:tcPr>
            <w:tcW w:w="880" w:type="dxa"/>
            <w:vAlign w:val="bottom"/>
          </w:tcPr>
          <w:p>
            <w:pPr>
              <w:spacing w:after="0"/>
              <w:rPr>
                <w:sz w:val="11"/>
                <w:szCs w:val="11"/>
                <w:color w:val="auto"/>
              </w:rPr>
            </w:pPr>
          </w:p>
        </w:tc>
        <w:tc>
          <w:tcPr>
            <w:tcW w:w="132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1,054,500</w:t>
            </w:r>
          </w:p>
        </w:tc>
        <w:tc>
          <w:tcPr>
            <w:tcW w:w="90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Arial" w:cs="Arial" w:eastAsia="Arial" w:hAnsi="Arial"/>
                <w:sz w:val="12"/>
                <w:szCs w:val="12"/>
                <w:color w:val="auto"/>
              </w:rPr>
              <w:t>1,054,500</w:t>
            </w:r>
          </w:p>
        </w:tc>
      </w:tr>
      <w:tr>
        <w:trPr>
          <w:trHeight w:val="137"/>
        </w:trPr>
        <w:tc>
          <w:tcPr>
            <w:tcW w:w="140" w:type="dxa"/>
            <w:vAlign w:val="bottom"/>
          </w:tcPr>
          <w:p>
            <w:pPr>
              <w:spacing w:after="0"/>
              <w:rPr>
                <w:sz w:val="11"/>
                <w:szCs w:val="11"/>
                <w:color w:val="auto"/>
              </w:rPr>
            </w:pPr>
          </w:p>
        </w:tc>
        <w:tc>
          <w:tcPr>
            <w:tcW w:w="1120" w:type="dxa"/>
            <w:vAlign w:val="bottom"/>
          </w:tcPr>
          <w:p>
            <w:pPr>
              <w:jc w:val="right"/>
              <w:ind w:right="218"/>
              <w:spacing w:after="0" w:line="137" w:lineRule="exact"/>
              <w:rPr>
                <w:sz w:val="20"/>
                <w:szCs w:val="20"/>
                <w:color w:val="auto"/>
              </w:rPr>
            </w:pPr>
            <w:r>
              <w:rPr>
                <w:rFonts w:ascii="Arial" w:cs="Arial" w:eastAsia="Arial" w:hAnsi="Arial"/>
                <w:sz w:val="12"/>
                <w:szCs w:val="12"/>
                <w:color w:val="auto"/>
              </w:rPr>
              <w:t>2,100,000</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ind w:left="240"/>
              <w:spacing w:after="0" w:line="137" w:lineRule="exact"/>
              <w:rPr>
                <w:sz w:val="20"/>
                <w:szCs w:val="20"/>
                <w:color w:val="auto"/>
              </w:rPr>
            </w:pPr>
            <w:r>
              <w:rPr>
                <w:rFonts w:ascii="Arial" w:cs="Arial" w:eastAsia="Arial" w:hAnsi="Arial"/>
                <w:sz w:val="12"/>
                <w:szCs w:val="12"/>
                <w:color w:val="auto"/>
              </w:rPr>
              <w:t>708,750</w:t>
            </w:r>
          </w:p>
        </w:tc>
        <w:tc>
          <w:tcPr>
            <w:tcW w:w="860" w:type="dxa"/>
            <w:vAlign w:val="bottom"/>
          </w:tcPr>
          <w:p>
            <w:pPr>
              <w:spacing w:after="0"/>
              <w:rPr>
                <w:sz w:val="11"/>
                <w:szCs w:val="11"/>
                <w:color w:val="auto"/>
              </w:rPr>
            </w:pPr>
          </w:p>
        </w:tc>
        <w:tc>
          <w:tcPr>
            <w:tcW w:w="132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945,000</w:t>
            </w:r>
          </w:p>
        </w:tc>
        <w:tc>
          <w:tcPr>
            <w:tcW w:w="700" w:type="dxa"/>
            <w:vAlign w:val="bottom"/>
          </w:tcPr>
          <w:p>
            <w:pPr>
              <w:spacing w:after="0"/>
              <w:rPr>
                <w:sz w:val="11"/>
                <w:szCs w:val="11"/>
                <w:color w:val="auto"/>
              </w:rPr>
            </w:pPr>
          </w:p>
        </w:tc>
        <w:tc>
          <w:tcPr>
            <w:tcW w:w="150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1,102,500</w:t>
            </w:r>
          </w:p>
        </w:tc>
        <w:tc>
          <w:tcPr>
            <w:tcW w:w="880" w:type="dxa"/>
            <w:vAlign w:val="bottom"/>
          </w:tcPr>
          <w:p>
            <w:pPr>
              <w:spacing w:after="0"/>
              <w:rPr>
                <w:sz w:val="11"/>
                <w:szCs w:val="11"/>
                <w:color w:val="auto"/>
              </w:rPr>
            </w:pPr>
          </w:p>
        </w:tc>
        <w:tc>
          <w:tcPr>
            <w:tcW w:w="132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1,165,500</w:t>
            </w:r>
          </w:p>
        </w:tc>
        <w:tc>
          <w:tcPr>
            <w:tcW w:w="90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Arial" w:cs="Arial" w:eastAsia="Arial" w:hAnsi="Arial"/>
                <w:sz w:val="12"/>
                <w:szCs w:val="12"/>
                <w:color w:val="auto"/>
              </w:rPr>
              <w:t>1,165,500</w:t>
            </w:r>
          </w:p>
        </w:tc>
      </w:tr>
      <w:tr>
        <w:trPr>
          <w:trHeight w:val="137"/>
        </w:trPr>
        <w:tc>
          <w:tcPr>
            <w:tcW w:w="140" w:type="dxa"/>
            <w:vAlign w:val="bottom"/>
          </w:tcPr>
          <w:p>
            <w:pPr>
              <w:spacing w:after="0"/>
              <w:rPr>
                <w:sz w:val="11"/>
                <w:szCs w:val="11"/>
                <w:color w:val="auto"/>
              </w:rPr>
            </w:pPr>
          </w:p>
        </w:tc>
        <w:tc>
          <w:tcPr>
            <w:tcW w:w="1120" w:type="dxa"/>
            <w:vAlign w:val="bottom"/>
          </w:tcPr>
          <w:p>
            <w:pPr>
              <w:jc w:val="right"/>
              <w:ind w:right="218"/>
              <w:spacing w:after="0" w:line="137" w:lineRule="exact"/>
              <w:rPr>
                <w:sz w:val="20"/>
                <w:szCs w:val="20"/>
                <w:color w:val="auto"/>
              </w:rPr>
            </w:pPr>
            <w:r>
              <w:rPr>
                <w:rFonts w:ascii="Arial" w:cs="Arial" w:eastAsia="Arial" w:hAnsi="Arial"/>
                <w:sz w:val="12"/>
                <w:szCs w:val="12"/>
                <w:color w:val="auto"/>
              </w:rPr>
              <w:t>2,300,000</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ind w:left="240"/>
              <w:spacing w:after="0" w:line="137" w:lineRule="exact"/>
              <w:rPr>
                <w:sz w:val="20"/>
                <w:szCs w:val="20"/>
                <w:color w:val="auto"/>
              </w:rPr>
            </w:pPr>
            <w:r>
              <w:rPr>
                <w:rFonts w:ascii="Arial" w:cs="Arial" w:eastAsia="Arial" w:hAnsi="Arial"/>
                <w:sz w:val="12"/>
                <w:szCs w:val="12"/>
                <w:color w:val="auto"/>
              </w:rPr>
              <w:t>776,250</w:t>
            </w:r>
          </w:p>
        </w:tc>
        <w:tc>
          <w:tcPr>
            <w:tcW w:w="860" w:type="dxa"/>
            <w:vAlign w:val="bottom"/>
          </w:tcPr>
          <w:p>
            <w:pPr>
              <w:spacing w:after="0"/>
              <w:rPr>
                <w:sz w:val="11"/>
                <w:szCs w:val="11"/>
                <w:color w:val="auto"/>
              </w:rPr>
            </w:pPr>
          </w:p>
        </w:tc>
        <w:tc>
          <w:tcPr>
            <w:tcW w:w="132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1,035,000</w:t>
            </w:r>
          </w:p>
        </w:tc>
        <w:tc>
          <w:tcPr>
            <w:tcW w:w="700" w:type="dxa"/>
            <w:vAlign w:val="bottom"/>
          </w:tcPr>
          <w:p>
            <w:pPr>
              <w:spacing w:after="0"/>
              <w:rPr>
                <w:sz w:val="11"/>
                <w:szCs w:val="11"/>
                <w:color w:val="auto"/>
              </w:rPr>
            </w:pPr>
          </w:p>
        </w:tc>
        <w:tc>
          <w:tcPr>
            <w:tcW w:w="150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1,207,500</w:t>
            </w:r>
          </w:p>
        </w:tc>
        <w:tc>
          <w:tcPr>
            <w:tcW w:w="880" w:type="dxa"/>
            <w:vAlign w:val="bottom"/>
          </w:tcPr>
          <w:p>
            <w:pPr>
              <w:spacing w:after="0"/>
              <w:rPr>
                <w:sz w:val="11"/>
                <w:szCs w:val="11"/>
                <w:color w:val="auto"/>
              </w:rPr>
            </w:pPr>
          </w:p>
        </w:tc>
        <w:tc>
          <w:tcPr>
            <w:tcW w:w="132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1,276,500</w:t>
            </w:r>
          </w:p>
        </w:tc>
        <w:tc>
          <w:tcPr>
            <w:tcW w:w="90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Arial" w:cs="Arial" w:eastAsia="Arial" w:hAnsi="Arial"/>
                <w:sz w:val="12"/>
                <w:szCs w:val="12"/>
                <w:color w:val="auto"/>
              </w:rPr>
              <w:t>1,276,500</w:t>
            </w:r>
          </w:p>
        </w:tc>
      </w:tr>
      <w:tr>
        <w:trPr>
          <w:trHeight w:val="137"/>
        </w:trPr>
        <w:tc>
          <w:tcPr>
            <w:tcW w:w="140" w:type="dxa"/>
            <w:vAlign w:val="bottom"/>
          </w:tcPr>
          <w:p>
            <w:pPr>
              <w:spacing w:after="0"/>
              <w:rPr>
                <w:sz w:val="11"/>
                <w:szCs w:val="11"/>
                <w:color w:val="auto"/>
              </w:rPr>
            </w:pPr>
          </w:p>
        </w:tc>
        <w:tc>
          <w:tcPr>
            <w:tcW w:w="1120" w:type="dxa"/>
            <w:vAlign w:val="bottom"/>
          </w:tcPr>
          <w:p>
            <w:pPr>
              <w:jc w:val="right"/>
              <w:ind w:right="218"/>
              <w:spacing w:after="0" w:line="137" w:lineRule="exact"/>
              <w:rPr>
                <w:sz w:val="20"/>
                <w:szCs w:val="20"/>
                <w:color w:val="auto"/>
              </w:rPr>
            </w:pPr>
            <w:r>
              <w:rPr>
                <w:rFonts w:ascii="Arial" w:cs="Arial" w:eastAsia="Arial" w:hAnsi="Arial"/>
                <w:sz w:val="12"/>
                <w:szCs w:val="12"/>
                <w:color w:val="auto"/>
              </w:rPr>
              <w:t>2,500,000</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ind w:left="240"/>
              <w:spacing w:after="0" w:line="137" w:lineRule="exact"/>
              <w:rPr>
                <w:sz w:val="20"/>
                <w:szCs w:val="20"/>
                <w:color w:val="auto"/>
              </w:rPr>
            </w:pPr>
            <w:r>
              <w:rPr>
                <w:rFonts w:ascii="Arial" w:cs="Arial" w:eastAsia="Arial" w:hAnsi="Arial"/>
                <w:sz w:val="12"/>
                <w:szCs w:val="12"/>
                <w:color w:val="auto"/>
              </w:rPr>
              <w:t>843,750</w:t>
            </w:r>
          </w:p>
        </w:tc>
        <w:tc>
          <w:tcPr>
            <w:tcW w:w="860" w:type="dxa"/>
            <w:vAlign w:val="bottom"/>
          </w:tcPr>
          <w:p>
            <w:pPr>
              <w:spacing w:after="0"/>
              <w:rPr>
                <w:sz w:val="11"/>
                <w:szCs w:val="11"/>
                <w:color w:val="auto"/>
              </w:rPr>
            </w:pPr>
          </w:p>
        </w:tc>
        <w:tc>
          <w:tcPr>
            <w:tcW w:w="132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1,125,000</w:t>
            </w:r>
          </w:p>
        </w:tc>
        <w:tc>
          <w:tcPr>
            <w:tcW w:w="700" w:type="dxa"/>
            <w:vAlign w:val="bottom"/>
          </w:tcPr>
          <w:p>
            <w:pPr>
              <w:spacing w:after="0"/>
              <w:rPr>
                <w:sz w:val="11"/>
                <w:szCs w:val="11"/>
                <w:color w:val="auto"/>
              </w:rPr>
            </w:pPr>
          </w:p>
        </w:tc>
        <w:tc>
          <w:tcPr>
            <w:tcW w:w="150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1,312,500</w:t>
            </w:r>
          </w:p>
        </w:tc>
        <w:tc>
          <w:tcPr>
            <w:tcW w:w="880" w:type="dxa"/>
            <w:vAlign w:val="bottom"/>
          </w:tcPr>
          <w:p>
            <w:pPr>
              <w:spacing w:after="0"/>
              <w:rPr>
                <w:sz w:val="11"/>
                <w:szCs w:val="11"/>
                <w:color w:val="auto"/>
              </w:rPr>
            </w:pPr>
          </w:p>
        </w:tc>
        <w:tc>
          <w:tcPr>
            <w:tcW w:w="132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1,387,500</w:t>
            </w:r>
          </w:p>
        </w:tc>
        <w:tc>
          <w:tcPr>
            <w:tcW w:w="90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Arial" w:cs="Arial" w:eastAsia="Arial" w:hAnsi="Arial"/>
                <w:sz w:val="12"/>
                <w:szCs w:val="12"/>
                <w:color w:val="auto"/>
              </w:rPr>
              <w:t>1,387,500</w:t>
            </w:r>
          </w:p>
        </w:tc>
      </w:tr>
      <w:tr>
        <w:trPr>
          <w:trHeight w:val="137"/>
        </w:trPr>
        <w:tc>
          <w:tcPr>
            <w:tcW w:w="140" w:type="dxa"/>
            <w:vAlign w:val="bottom"/>
          </w:tcPr>
          <w:p>
            <w:pPr>
              <w:spacing w:after="0"/>
              <w:rPr>
                <w:sz w:val="11"/>
                <w:szCs w:val="11"/>
                <w:color w:val="auto"/>
              </w:rPr>
            </w:pPr>
          </w:p>
        </w:tc>
        <w:tc>
          <w:tcPr>
            <w:tcW w:w="1120" w:type="dxa"/>
            <w:vAlign w:val="bottom"/>
          </w:tcPr>
          <w:p>
            <w:pPr>
              <w:jc w:val="right"/>
              <w:ind w:right="218"/>
              <w:spacing w:after="0" w:line="137" w:lineRule="exact"/>
              <w:rPr>
                <w:sz w:val="20"/>
                <w:szCs w:val="20"/>
                <w:color w:val="auto"/>
              </w:rPr>
            </w:pPr>
            <w:r>
              <w:rPr>
                <w:rFonts w:ascii="Arial" w:cs="Arial" w:eastAsia="Arial" w:hAnsi="Arial"/>
                <w:sz w:val="12"/>
                <w:szCs w:val="12"/>
                <w:color w:val="auto"/>
              </w:rPr>
              <w:t>2,700,000</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ind w:left="240"/>
              <w:spacing w:after="0" w:line="137" w:lineRule="exact"/>
              <w:rPr>
                <w:sz w:val="20"/>
                <w:szCs w:val="20"/>
                <w:color w:val="auto"/>
              </w:rPr>
            </w:pPr>
            <w:r>
              <w:rPr>
                <w:rFonts w:ascii="Arial" w:cs="Arial" w:eastAsia="Arial" w:hAnsi="Arial"/>
                <w:sz w:val="12"/>
                <w:szCs w:val="12"/>
                <w:color w:val="auto"/>
              </w:rPr>
              <w:t>911,250</w:t>
            </w:r>
          </w:p>
        </w:tc>
        <w:tc>
          <w:tcPr>
            <w:tcW w:w="860" w:type="dxa"/>
            <w:vAlign w:val="bottom"/>
          </w:tcPr>
          <w:p>
            <w:pPr>
              <w:spacing w:after="0"/>
              <w:rPr>
                <w:sz w:val="11"/>
                <w:szCs w:val="11"/>
                <w:color w:val="auto"/>
              </w:rPr>
            </w:pPr>
          </w:p>
        </w:tc>
        <w:tc>
          <w:tcPr>
            <w:tcW w:w="132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1,215,000</w:t>
            </w:r>
          </w:p>
        </w:tc>
        <w:tc>
          <w:tcPr>
            <w:tcW w:w="700" w:type="dxa"/>
            <w:vAlign w:val="bottom"/>
          </w:tcPr>
          <w:p>
            <w:pPr>
              <w:spacing w:after="0"/>
              <w:rPr>
                <w:sz w:val="11"/>
                <w:szCs w:val="11"/>
                <w:color w:val="auto"/>
              </w:rPr>
            </w:pPr>
          </w:p>
        </w:tc>
        <w:tc>
          <w:tcPr>
            <w:tcW w:w="150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1,417,500</w:t>
            </w:r>
          </w:p>
        </w:tc>
        <w:tc>
          <w:tcPr>
            <w:tcW w:w="880" w:type="dxa"/>
            <w:vAlign w:val="bottom"/>
          </w:tcPr>
          <w:p>
            <w:pPr>
              <w:spacing w:after="0"/>
              <w:rPr>
                <w:sz w:val="11"/>
                <w:szCs w:val="11"/>
                <w:color w:val="auto"/>
              </w:rPr>
            </w:pPr>
          </w:p>
        </w:tc>
        <w:tc>
          <w:tcPr>
            <w:tcW w:w="1320" w:type="dxa"/>
            <w:vAlign w:val="bottom"/>
          </w:tcPr>
          <w:p>
            <w:pPr>
              <w:jc w:val="right"/>
              <w:ind w:right="518"/>
              <w:spacing w:after="0" w:line="137" w:lineRule="exact"/>
              <w:rPr>
                <w:sz w:val="20"/>
                <w:szCs w:val="20"/>
                <w:color w:val="auto"/>
              </w:rPr>
            </w:pPr>
            <w:r>
              <w:rPr>
                <w:rFonts w:ascii="Arial" w:cs="Arial" w:eastAsia="Arial" w:hAnsi="Arial"/>
                <w:sz w:val="12"/>
                <w:szCs w:val="12"/>
                <w:color w:val="auto"/>
              </w:rPr>
              <w:t>1,498,500</w:t>
            </w:r>
          </w:p>
        </w:tc>
        <w:tc>
          <w:tcPr>
            <w:tcW w:w="90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Arial" w:cs="Arial" w:eastAsia="Arial" w:hAnsi="Arial"/>
                <w:sz w:val="12"/>
                <w:szCs w:val="12"/>
                <w:color w:val="auto"/>
              </w:rPr>
              <w:t>1,498,500</w:t>
            </w:r>
          </w:p>
        </w:tc>
      </w:tr>
      <w:tr>
        <w:trPr>
          <w:trHeight w:val="157"/>
        </w:trPr>
        <w:tc>
          <w:tcPr>
            <w:tcW w:w="140" w:type="dxa"/>
            <w:vAlign w:val="bottom"/>
          </w:tcPr>
          <w:p>
            <w:pPr>
              <w:spacing w:after="0"/>
              <w:rPr>
                <w:sz w:val="13"/>
                <w:szCs w:val="13"/>
                <w:color w:val="auto"/>
              </w:rPr>
            </w:pP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2,900,000</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ind w:left="240"/>
              <w:spacing w:after="0"/>
              <w:rPr>
                <w:sz w:val="20"/>
                <w:szCs w:val="20"/>
                <w:color w:val="auto"/>
              </w:rPr>
            </w:pPr>
            <w:r>
              <w:rPr>
                <w:rFonts w:ascii="Arial" w:cs="Arial" w:eastAsia="Arial" w:hAnsi="Arial"/>
                <w:sz w:val="12"/>
                <w:szCs w:val="12"/>
                <w:color w:val="auto"/>
              </w:rPr>
              <w:t>978,750</w:t>
            </w:r>
          </w:p>
        </w:tc>
        <w:tc>
          <w:tcPr>
            <w:tcW w:w="860" w:type="dxa"/>
            <w:vAlign w:val="bottom"/>
          </w:tcPr>
          <w:p>
            <w:pPr>
              <w:spacing w:after="0"/>
              <w:rPr>
                <w:sz w:val="13"/>
                <w:szCs w:val="13"/>
                <w:color w:val="auto"/>
              </w:rPr>
            </w:pPr>
          </w:p>
        </w:tc>
        <w:tc>
          <w:tcPr>
            <w:tcW w:w="1320" w:type="dxa"/>
            <w:vAlign w:val="bottom"/>
          </w:tcPr>
          <w:p>
            <w:pPr>
              <w:jc w:val="right"/>
              <w:ind w:right="518"/>
              <w:spacing w:after="0"/>
              <w:rPr>
                <w:sz w:val="20"/>
                <w:szCs w:val="20"/>
                <w:color w:val="auto"/>
              </w:rPr>
            </w:pPr>
            <w:r>
              <w:rPr>
                <w:rFonts w:ascii="Arial" w:cs="Arial" w:eastAsia="Arial" w:hAnsi="Arial"/>
                <w:sz w:val="12"/>
                <w:szCs w:val="12"/>
                <w:color w:val="auto"/>
              </w:rPr>
              <w:t>1,305,000</w:t>
            </w:r>
          </w:p>
        </w:tc>
        <w:tc>
          <w:tcPr>
            <w:tcW w:w="700" w:type="dxa"/>
            <w:vAlign w:val="bottom"/>
          </w:tcPr>
          <w:p>
            <w:pPr>
              <w:spacing w:after="0"/>
              <w:rPr>
                <w:sz w:val="13"/>
                <w:szCs w:val="13"/>
                <w:color w:val="auto"/>
              </w:rPr>
            </w:pPr>
          </w:p>
        </w:tc>
        <w:tc>
          <w:tcPr>
            <w:tcW w:w="1500" w:type="dxa"/>
            <w:vAlign w:val="bottom"/>
          </w:tcPr>
          <w:p>
            <w:pPr>
              <w:jc w:val="right"/>
              <w:ind w:right="518"/>
              <w:spacing w:after="0"/>
              <w:rPr>
                <w:sz w:val="20"/>
                <w:szCs w:val="20"/>
                <w:color w:val="auto"/>
              </w:rPr>
            </w:pPr>
            <w:r>
              <w:rPr>
                <w:rFonts w:ascii="Arial" w:cs="Arial" w:eastAsia="Arial" w:hAnsi="Arial"/>
                <w:sz w:val="12"/>
                <w:szCs w:val="12"/>
                <w:color w:val="auto"/>
              </w:rPr>
              <w:t>1,522,500</w:t>
            </w:r>
          </w:p>
        </w:tc>
        <w:tc>
          <w:tcPr>
            <w:tcW w:w="880" w:type="dxa"/>
            <w:vAlign w:val="bottom"/>
          </w:tcPr>
          <w:p>
            <w:pPr>
              <w:spacing w:after="0"/>
              <w:rPr>
                <w:sz w:val="13"/>
                <w:szCs w:val="13"/>
                <w:color w:val="auto"/>
              </w:rPr>
            </w:pPr>
          </w:p>
        </w:tc>
        <w:tc>
          <w:tcPr>
            <w:tcW w:w="1320" w:type="dxa"/>
            <w:vAlign w:val="bottom"/>
          </w:tcPr>
          <w:p>
            <w:pPr>
              <w:jc w:val="right"/>
              <w:ind w:right="518"/>
              <w:spacing w:after="0"/>
              <w:rPr>
                <w:sz w:val="20"/>
                <w:szCs w:val="20"/>
                <w:color w:val="auto"/>
              </w:rPr>
            </w:pPr>
            <w:r>
              <w:rPr>
                <w:rFonts w:ascii="Arial" w:cs="Arial" w:eastAsia="Arial" w:hAnsi="Arial"/>
                <w:sz w:val="12"/>
                <w:szCs w:val="12"/>
                <w:color w:val="auto"/>
              </w:rPr>
              <w:t>1,609,500</w:t>
            </w:r>
          </w:p>
        </w:tc>
        <w:tc>
          <w:tcPr>
            <w:tcW w:w="9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1,609,500</w:t>
            </w:r>
          </w:p>
        </w:tc>
      </w:tr>
      <w:tr>
        <w:trPr>
          <w:trHeight w:val="97"/>
        </w:trPr>
        <w:tc>
          <w:tcPr>
            <w:tcW w:w="1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-1337310</wp:posOffset>
            </wp:positionV>
            <wp:extent cx="1270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-1337310</wp:posOffset>
            </wp:positionV>
            <wp:extent cx="1270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-1337310</wp:posOffset>
            </wp:positionV>
            <wp:extent cx="1270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-1337310</wp:posOffset>
            </wp:positionV>
            <wp:extent cx="1270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-1108710</wp:posOffset>
            </wp:positionV>
            <wp:extent cx="1270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-1108710</wp:posOffset>
            </wp:positionV>
            <wp:extent cx="1270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-1108710</wp:posOffset>
            </wp:positionV>
            <wp:extent cx="1270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-1108710</wp:posOffset>
            </wp:positionV>
            <wp:extent cx="1270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-13335</wp:posOffset>
            </wp:positionV>
            <wp:extent cx="1270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-13335</wp:posOffset>
            </wp:positionV>
            <wp:extent cx="1270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65" w:lineRule="exact"/>
        <w:rPr>
          <w:sz w:val="20"/>
          <w:szCs w:val="20"/>
          <w:color w:val="auto"/>
        </w:rPr>
      </w:pPr>
    </w:p>
    <w:p>
      <w:pPr>
        <w:ind w:left="1" w:right="80"/>
        <w:spacing w:after="0" w:line="263" w:lineRule="auto"/>
        <w:rPr>
          <w:sz w:val="20"/>
          <w:szCs w:val="20"/>
          <w:color w:val="auto"/>
        </w:rPr>
      </w:pPr>
      <w:r>
        <w:rPr>
          <w:rFonts w:ascii="Arial" w:cs="Arial" w:eastAsia="Arial" w:hAnsi="Arial"/>
          <w:sz w:val="16"/>
          <w:szCs w:val="16"/>
          <w:color w:val="auto"/>
        </w:rPr>
        <w:t>The compensation considered in determining the pensions payable to the named officers is the compensation shown in the "Salary" and "Bonus" columns of the Summary Compensation Table on page 13. Pensions accrued under the Annuity Retirement Plan are funded through the Abbott Laboratories Annuity Retirement Trust, established on behalf of all participants in that plan. Pensions accrued under the nonqualified supplemental pension plan with present values exceeding $100,000 are funded through individual trusts established on behalf of the officers who participate in that plan. During 2001, the following amounts, less applicable tax withholdings, were deposited in such individual trusts established on behalf of the named officers: M. D. White, $118,131; R. A. Gonzalez, $47,830; C. B. Begley, $25,785; and W. G. Dempsey, $54,741. As of December 31, 2001, the years of service credited under the Plan for the named officers were as follows: M. D. White - 17; R. A. Gonzalez - 21; J. M. Leiden - 1; C. B. Begley - 15; and W. G. Dempsey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2495"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81" w:lineRule="exact"/>
        <w:rPr>
          <w:sz w:val="20"/>
          <w:szCs w:val="20"/>
          <w:color w:val="auto"/>
        </w:rPr>
      </w:pPr>
    </w:p>
    <w:p>
      <w:pPr>
        <w:ind w:left="1"/>
        <w:spacing w:after="0"/>
        <w:rPr>
          <w:sz w:val="20"/>
          <w:szCs w:val="20"/>
          <w:color w:val="auto"/>
        </w:rPr>
      </w:pPr>
      <w:r>
        <w:rPr>
          <w:rFonts w:ascii="Arial" w:cs="Arial" w:eastAsia="Arial" w:hAnsi="Arial"/>
          <w:sz w:val="16"/>
          <w:szCs w:val="16"/>
          <w:color w:val="2B85FF"/>
        </w:rPr>
        <w:t>Key Employee Retention</w:t>
      </w:r>
    </w:p>
    <w:p>
      <w:pPr>
        <w:spacing w:after="0" w:line="213" w:lineRule="exact"/>
        <w:rPr>
          <w:sz w:val="20"/>
          <w:szCs w:val="20"/>
          <w:color w:val="auto"/>
        </w:rPr>
      </w:pPr>
    </w:p>
    <w:p>
      <w:pPr>
        <w:ind w:left="1" w:right="20"/>
        <w:spacing w:after="0" w:line="287" w:lineRule="auto"/>
        <w:rPr>
          <w:sz w:val="20"/>
          <w:szCs w:val="20"/>
          <w:color w:val="auto"/>
        </w:rPr>
      </w:pPr>
      <w:r>
        <w:rPr>
          <w:rFonts w:ascii="Arial" w:cs="Arial" w:eastAsia="Arial" w:hAnsi="Arial"/>
          <w:sz w:val="16"/>
          <w:szCs w:val="16"/>
          <w:color w:val="auto"/>
        </w:rPr>
        <w:t>Abbott has change in control arrangements with its management team, in the form of change in control agreements for Abbott officers and a change in control plan for other key management personnel. The agreements with the named officers are described below.</w:t>
      </w:r>
    </w:p>
    <w:p>
      <w:pPr>
        <w:spacing w:after="0" w:line="156" w:lineRule="exact"/>
        <w:rPr>
          <w:sz w:val="20"/>
          <w:szCs w:val="20"/>
          <w:color w:val="auto"/>
        </w:rPr>
      </w:pPr>
    </w:p>
    <w:p>
      <w:pPr>
        <w:ind w:left="1" w:right="20"/>
        <w:spacing w:after="0" w:line="280" w:lineRule="auto"/>
        <w:rPr>
          <w:sz w:val="20"/>
          <w:szCs w:val="20"/>
          <w:color w:val="auto"/>
        </w:rPr>
      </w:pPr>
      <w:r>
        <w:rPr>
          <w:rFonts w:ascii="Arial" w:cs="Arial" w:eastAsia="Arial" w:hAnsi="Arial"/>
          <w:sz w:val="15"/>
          <w:szCs w:val="15"/>
          <w:color w:val="auto"/>
        </w:rPr>
        <w:t>The agreements with the named officers continue in effect until December 31, 2004, and at the end of each year will automatically be extended through the third year thereafter unless Abbott notifies the officer that the agreement will not be extended. The agreements also automatically extend for two years following any change in control that occurs while they are in effect. The agreements provide that if the officer is terminated other than for specified reasons or if the officer elects to terminate employment under certain circumstances during a potential change in control or within two years following a change in control of Abbott, the officer is entitled to receive a lump sum payment equal to three times the officer's annual salary and bonus (assuming for this purpose that all target performance goals have been achieved or, if higher, based on the average bonus for the last three years), plus any unpaid bonus owing for any completed performance period and the pro rata bonus for any current bonus period (both based on the highest of the actual bonus earned, the bonus assuming achievement of target performance, or the average bonus for the past three years). The officer will also receive up to three years of additional employee benefits (including the value of three more years of pension accruals), payment of a portion of any excise taxes and other related taxes and payments for which the officer is responsible as a result of the agreement, and reimbursement of certain legal, tax and audit fees. The agreements also limit the conduct for which awards under Abbott's stock incentive programs can be terminated and generally permit options to remain exercisable for the remainder of their term. Independent compensation consultants confirm that the level of payments provided under the agreements is consistent with current market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262495" cy="20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73" w:lineRule="exact"/>
        <w:rPr>
          <w:sz w:val="20"/>
          <w:szCs w:val="20"/>
          <w:color w:val="auto"/>
        </w:rPr>
      </w:pPr>
    </w:p>
    <w:p>
      <w:pPr>
        <w:ind w:left="1"/>
        <w:spacing w:after="0"/>
        <w:rPr>
          <w:sz w:val="20"/>
          <w:szCs w:val="20"/>
          <w:color w:val="auto"/>
        </w:rPr>
      </w:pPr>
      <w:r>
        <w:rPr>
          <w:rFonts w:ascii="Arial" w:cs="Arial" w:eastAsia="Arial" w:hAnsi="Arial"/>
          <w:sz w:val="16"/>
          <w:szCs w:val="16"/>
          <w:color w:val="auto"/>
        </w:rPr>
        <w:t>15</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color w:val="auto"/>
        </w:rPr>
        <w:t>Under the agreements, a "change in control" occurs on the earliest of the following dates:</w:t>
      </w:r>
    </w:p>
    <w:p>
      <w:pPr>
        <w:spacing w:after="0" w:line="213" w:lineRule="exact"/>
        <w:rPr>
          <w:sz w:val="20"/>
          <w:szCs w:val="20"/>
          <w:color w:val="auto"/>
        </w:rPr>
      </w:pPr>
    </w:p>
    <w:p>
      <w:pPr>
        <w:ind w:left="301" w:right="1300" w:hanging="301"/>
        <w:spacing w:after="0" w:line="287" w:lineRule="auto"/>
        <w:tabs>
          <w:tab w:leader="none" w:pos="3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date any entity or person (including a "group" as defined in Section 13(d)(3) of the Securities Exchange Act of 1934) becomes the beneficial owner of, or obtains voting control over, 20% or more of the outstanding common shares of Abbott.</w:t>
      </w:r>
    </w:p>
    <w:p>
      <w:pPr>
        <w:spacing w:after="0" w:line="155" w:lineRule="exact"/>
        <w:rPr>
          <w:rFonts w:ascii="Arial" w:cs="Arial" w:eastAsia="Arial" w:hAnsi="Arial"/>
          <w:sz w:val="16"/>
          <w:szCs w:val="16"/>
          <w:color w:val="auto"/>
        </w:rPr>
      </w:pPr>
    </w:p>
    <w:p>
      <w:pPr>
        <w:ind w:left="301" w:right="1340" w:hanging="301"/>
        <w:spacing w:after="0" w:line="266" w:lineRule="auto"/>
        <w:tabs>
          <w:tab w:leader="none" w:pos="3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date on which Abbott (A) merges or consolidates with or into another corporation, or merges another corporation into Abbott, in which Abbott is not the continuing or surviving corporation or pursuant to which any common shares of Abbott are converted into cash, securities of another corporation, or other property, other than a merger or consolidation of Abbott in which holders of common shares immediately prior to the merger have the same proportionate ownership of common stock of the surviving corporation or its parent corporation immediately after the merger as immediately before, or (B) sells or otherwise disposes of substantially all of Abbott's assets.</w:t>
      </w:r>
    </w:p>
    <w:p>
      <w:pPr>
        <w:spacing w:after="0" w:line="171" w:lineRule="exact"/>
        <w:rPr>
          <w:rFonts w:ascii="Arial" w:cs="Arial" w:eastAsia="Arial" w:hAnsi="Arial"/>
          <w:sz w:val="16"/>
          <w:szCs w:val="16"/>
          <w:color w:val="auto"/>
        </w:rPr>
      </w:pPr>
    </w:p>
    <w:p>
      <w:pPr>
        <w:ind w:left="301" w:right="1300" w:hanging="301"/>
        <w:spacing w:after="0" w:line="273" w:lineRule="auto"/>
        <w:tabs>
          <w:tab w:leader="none" w:pos="3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date on which there has been a change in a majority of the board of directors of Abbott within a 12-month period unless the nomination for election by Abbott's shareholders of each new director was approved by the vote of two-thirds of the directors then still in office who were in office at the beginning of the 12-month period.</w:t>
      </w:r>
    </w:p>
    <w:p>
      <w:pPr>
        <w:spacing w:after="0" w:line="166" w:lineRule="exact"/>
        <w:rPr>
          <w:sz w:val="20"/>
          <w:szCs w:val="20"/>
          <w:color w:val="auto"/>
        </w:rPr>
      </w:pPr>
    </w:p>
    <w:p>
      <w:pPr>
        <w:jc w:val="both"/>
        <w:ind w:left="1" w:right="80"/>
        <w:spacing w:after="0" w:line="273" w:lineRule="auto"/>
        <w:rPr>
          <w:sz w:val="20"/>
          <w:szCs w:val="20"/>
          <w:color w:val="auto"/>
        </w:rPr>
      </w:pPr>
      <w:r>
        <w:rPr>
          <w:rFonts w:ascii="Arial" w:cs="Arial" w:eastAsia="Arial" w:hAnsi="Arial"/>
          <w:sz w:val="16"/>
          <w:szCs w:val="16"/>
          <w:color w:val="auto"/>
        </w:rPr>
        <w:t>A potential change in control occurs if Abbott enters into an agreement which would result in a change in control, Abbott or anyone else publicly announces an intent to take or consider actions which would constitute a change in control, any person or group acquires beneficial ownership of 10% or more of Abbott's common shares, or Abbott's board adopts a resolution that a potential change in control exists.</w:t>
      </w:r>
    </w:p>
    <w:p>
      <w:pPr>
        <w:sectPr>
          <w:pgSz w:w="11900" w:h="16838" w:orient="portrait"/>
          <w:cols w:equalWidth="0" w:num="1">
            <w:col w:w="11421"/>
          </w:cols>
          <w:pgMar w:left="239" w:top="255" w:right="239" w:bottom="114" w:gutter="0" w:footer="0" w:header="0"/>
        </w:sectPr>
      </w:pPr>
    </w:p>
    <w:bookmarkStart w:id="12" w:name="page13"/>
    <w:bookmarkEnd w:id="12"/>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Abbott's stock incentive programs provide that, as of the date of a change in control, all outstanding stock options and limited stock appreciation rights become fully exercisable and the terms and conditions of any outstanding restricted stock awards are deemed satisfied. The stock incentive programs use a definition of change in control that is generally similar to the definition used in the agreements except that a change in control is triggered when an entity or person becomes the beneficial owner of, or obtains voting control over, 30% or more of the outstanding common shares of Abbott.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262495"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2B85FF"/>
        </w:rPr>
        <w:t>Performance Graph</w:t>
      </w:r>
    </w:p>
    <w:p>
      <w:pPr>
        <w:spacing w:after="0" w:line="213" w:lineRule="exact"/>
        <w:rPr>
          <w:sz w:val="20"/>
          <w:szCs w:val="20"/>
          <w:color w:val="auto"/>
        </w:rPr>
      </w:pPr>
    </w:p>
    <w:p>
      <w:pPr>
        <w:ind w:right="580"/>
        <w:spacing w:after="0" w:line="287" w:lineRule="auto"/>
        <w:rPr>
          <w:sz w:val="20"/>
          <w:szCs w:val="20"/>
          <w:color w:val="auto"/>
        </w:rPr>
      </w:pPr>
      <w:r>
        <w:rPr>
          <w:rFonts w:ascii="Arial" w:cs="Arial" w:eastAsia="Arial" w:hAnsi="Arial"/>
          <w:sz w:val="16"/>
          <w:szCs w:val="16"/>
          <w:color w:val="auto"/>
        </w:rPr>
        <w:t>The following graph compares the change in Abbott's cumulative total shareholder return on its common shares with the Standard and Poor's® 500 Stock Index and the Standard and Poor's® Health Care-500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104140</wp:posOffset>
            </wp:positionV>
            <wp:extent cx="7262495" cy="29337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2495" cy="293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679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2495" cy="6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2B85FF"/>
        </w:rPr>
        <w:t>Selection of Independent Public Accountants (Item 2 on Proxy Card)</w:t>
      </w:r>
    </w:p>
    <w:p>
      <w:pPr>
        <w:spacing w:after="0" w:line="217"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Abbott's bylaws provide that, upon the recommendation of the audit committee, the board of directors shall appoint annually a firm of independent public accountants to serve as auditors and that such appointment shall be submitted for ratification by the shareholders at the Annual Meeting. In October 2001, the board appointed Arthur Andersen LLP to act as auditors for the current year. This firm has served as Abbott's auditors since 1963.</w:t>
      </w:r>
    </w:p>
    <w:p>
      <w:pPr>
        <w:spacing w:after="0" w:line="16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board and audit committee have been monitoring and have reviewed, in detail, the press coverage regarding Arthur Andersen LLP in its role as auditors of Enron Corp. In addition, the audit committee has discussed this and other matters with senior representatives of Arthur Andersen LLP. The audit committee has concluded, based on information available to date, that such matters should not impair the ability of that firm to provide quality and independent audit services to Abbott and, therefore, recommends that Arthur Andersen LLP should serve as Abbott's independent public accountants for 2002. The board and audit committee will continue to closely monitor and evaluate any further developments in this matter.</w:t>
      </w:r>
    </w:p>
    <w:p>
      <w:pPr>
        <w:spacing w:after="0" w:line="172"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Abbott also maintains an internal auditing function that evaluates and formally reports on the adequacy and effectiveness of internal accounting controls, policies and procedures. The audit committee, which meets at least four times a year, has unrestricted access to Abbott's internal audit function. The committee meets privately with the head of internal audit several times each year.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recommends a vote FOR ratification of the selection of Arthur Andersen LLP as independent public accountants for 2002.</w:t>
      </w:r>
    </w:p>
    <w:p>
      <w:pPr>
        <w:spacing w:after="0" w:line="217"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Representatives of Arthur Andersen LLP are expected to be present at the Annual Meeting and will be given the opportunity to make a statement if they desire to do so. They will also be available to respond to appropriate questions.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Audit Fees</w:t>
      </w:r>
    </w:p>
    <w:p>
      <w:pPr>
        <w:spacing w:after="0" w:line="213"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For 2001, Arthur Andersen LLP and its affiliates billed or will bill Abbott an aggregate of $5.9 million for professional services rendered for the audit of Abbott's 2001 financial statements and the review of Abbott's financial statements included in Abbott's quarterly reports on Securities and Exchange Commission Form 10-Q. Of this amount, $1.4 million were one-time fees related to Abbott's acquisition of the pharmaceutical business of BASF.</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Financial Information Systems Design and Implementation Fees</w:t>
      </w:r>
    </w:p>
    <w:p>
      <w:pPr>
        <w:spacing w:after="0" w:line="213" w:lineRule="exact"/>
        <w:rPr>
          <w:sz w:val="20"/>
          <w:szCs w:val="20"/>
          <w:color w:val="auto"/>
        </w:rPr>
      </w:pPr>
    </w:p>
    <w:p>
      <w:pPr>
        <w:ind w:right="320"/>
        <w:spacing w:after="0" w:line="287" w:lineRule="auto"/>
        <w:rPr>
          <w:sz w:val="20"/>
          <w:szCs w:val="20"/>
          <w:color w:val="auto"/>
        </w:rPr>
      </w:pPr>
      <w:r>
        <w:rPr>
          <w:rFonts w:ascii="Arial" w:cs="Arial" w:eastAsia="Arial" w:hAnsi="Arial"/>
          <w:sz w:val="16"/>
          <w:szCs w:val="16"/>
          <w:color w:val="auto"/>
        </w:rPr>
        <w:t>For 2001, neither Arthur Andersen LLP nor any of its affiliates rendered any professional services for Abbott in connection with Financial Information Systems Design and Implementation.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All Other Fees</w:t>
      </w:r>
    </w:p>
    <w:p>
      <w:pPr>
        <w:spacing w:after="0" w:line="21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For 2001, Arthur Andersen LLP and its affiliates billed Abbott, an aggregate of $8.0 million for all other non-audit services performed for Abbott. Of this amount, $3.5 million related to international tax support and $2.2 million were one-time fees related to Abbott's acquisition of the pharmaceutical business of BASF.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7262495" cy="20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2B85FF"/>
        </w:rPr>
        <w:t>Report of the Audit Committee</w:t>
      </w:r>
    </w:p>
    <w:p>
      <w:pPr>
        <w:spacing w:after="0" w:line="217" w:lineRule="exact"/>
        <w:rPr>
          <w:sz w:val="20"/>
          <w:szCs w:val="20"/>
          <w:color w:val="auto"/>
        </w:rPr>
      </w:pPr>
    </w:p>
    <w:p>
      <w:pPr>
        <w:ind w:right="440"/>
        <w:spacing w:after="0" w:line="362" w:lineRule="auto"/>
        <w:rPr>
          <w:sz w:val="20"/>
          <w:szCs w:val="20"/>
          <w:color w:val="auto"/>
        </w:rPr>
      </w:pPr>
      <w:r>
        <w:rPr>
          <w:rFonts w:ascii="Arial" w:cs="Arial" w:eastAsia="Arial" w:hAnsi="Arial"/>
          <w:sz w:val="14"/>
          <w:szCs w:val="14"/>
          <w:color w:val="auto"/>
        </w:rPr>
        <w:t>Management is responsible for Abbott's internal controls and the financial reporting process. The independent auditors are responsible for performing an audit of Abbott's financial statements in accordance with generally accepted auditing standards and for expressing an opinion on those financial statements based on their audit. The audit</w:t>
      </w:r>
    </w:p>
    <w:p>
      <w:pPr>
        <w:sectPr>
          <w:pgSz w:w="11900" w:h="16900" w:orient="portrait"/>
          <w:cols w:equalWidth="0" w:num="1">
            <w:col w:w="11420"/>
          </w:cols>
          <w:pgMar w:left="240" w:top="131" w:right="239" w:bottom="0" w:gutter="0" w:footer="0" w:header="0"/>
        </w:sectPr>
      </w:pPr>
    </w:p>
    <w:bookmarkStart w:id="13" w:name="page14"/>
    <w:bookmarkEnd w:id="13"/>
    <w:p>
      <w:pPr>
        <w:ind w:right="180"/>
        <w:spacing w:after="0" w:line="287" w:lineRule="auto"/>
        <w:rPr>
          <w:sz w:val="20"/>
          <w:szCs w:val="20"/>
          <w:color w:val="auto"/>
        </w:rPr>
      </w:pPr>
      <w:r>
        <w:rPr>
          <w:rFonts w:ascii="Arial" w:cs="Arial" w:eastAsia="Arial" w:hAnsi="Arial"/>
          <w:sz w:val="16"/>
          <w:szCs w:val="16"/>
          <w:color w:val="auto"/>
        </w:rPr>
        <w:t>committee reviews these processes on behalf of the board of directors. In this context, the committee has reviewed and discussed the audited financial statements contained in the 2001 Annual Report on Form 10-K with Abbott's management and its independent auditors.</w:t>
      </w:r>
    </w:p>
    <w:p>
      <w:pPr>
        <w:spacing w:after="0" w:line="156" w:lineRule="exact"/>
        <w:rPr>
          <w:sz w:val="20"/>
          <w:szCs w:val="20"/>
          <w:color w:val="auto"/>
        </w:rPr>
      </w:pPr>
    </w:p>
    <w:p>
      <w:pPr>
        <w:jc w:val="both"/>
        <w:ind w:right="5000"/>
        <w:spacing w:after="0" w:line="362" w:lineRule="auto"/>
        <w:rPr>
          <w:sz w:val="20"/>
          <w:szCs w:val="20"/>
          <w:color w:val="auto"/>
        </w:rPr>
      </w:pPr>
      <w:r>
        <w:rPr>
          <w:rFonts w:ascii="Arial" w:cs="Arial" w:eastAsia="Arial" w:hAnsi="Arial"/>
          <w:sz w:val="14"/>
          <w:szCs w:val="14"/>
          <w:color w:val="auto"/>
        </w:rPr>
        <w:t>The committee has discussed with the independent auditors the matters required to be discussed by the Statement on Auditing Standards No. 61 (</w:t>
      </w:r>
      <w:r>
        <w:rPr>
          <w:rFonts w:ascii="Arial" w:cs="Arial" w:eastAsia="Arial" w:hAnsi="Arial"/>
          <w:sz w:val="14"/>
          <w:szCs w:val="14"/>
          <w:i w:val="1"/>
          <w:iCs w:val="1"/>
          <w:color w:val="auto"/>
        </w:rPr>
        <w:t>Communication with Audit Committees</w:t>
      </w:r>
      <w:r>
        <w:rPr>
          <w:rFonts w:ascii="Arial" w:cs="Arial" w:eastAsia="Arial" w:hAnsi="Arial"/>
          <w:sz w:val="14"/>
          <w:szCs w:val="14"/>
          <w:color w:val="auto"/>
        </w:rPr>
        <w:t>), as amended.</w:t>
      </w:r>
    </w:p>
    <w:p>
      <w:pPr>
        <w:spacing w:after="0" w:line="110"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committee has received the written disclosures and the letter from the independent auditors required by Independence Standards Board Standard No. 1 (</w:t>
      </w:r>
      <w:r>
        <w:rPr>
          <w:rFonts w:ascii="Arial" w:cs="Arial" w:eastAsia="Arial" w:hAnsi="Arial"/>
          <w:sz w:val="16"/>
          <w:szCs w:val="16"/>
          <w:i w:val="1"/>
          <w:iCs w:val="1"/>
          <w:color w:val="auto"/>
        </w:rPr>
        <w:t>Independence</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Discussions with Audit Committees</w:t>
      </w:r>
      <w:r>
        <w:rPr>
          <w:rFonts w:ascii="Arial" w:cs="Arial" w:eastAsia="Arial" w:hAnsi="Arial"/>
          <w:sz w:val="16"/>
          <w:szCs w:val="16"/>
          <w:color w:val="auto"/>
        </w:rPr>
        <w:t>), as amended, and has discussed with the independent auditors their independence. The committee has also considered whether the provision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services described above under the captions "Financial Information Systems Design and Implementation Fees" and "All Other Fees" is compatible with maintaining the independence of the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262495" cy="20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17</w:t>
      </w:r>
    </w:p>
    <w:p>
      <w:pPr>
        <w:spacing w:after="0" w:line="213" w:lineRule="exact"/>
        <w:rPr>
          <w:sz w:val="20"/>
          <w:szCs w:val="20"/>
          <w:color w:val="auto"/>
        </w:rPr>
      </w:pPr>
    </w:p>
    <w:p>
      <w:pPr>
        <w:ind w:right="480"/>
        <w:spacing w:after="0" w:line="287" w:lineRule="auto"/>
        <w:rPr>
          <w:sz w:val="20"/>
          <w:szCs w:val="20"/>
          <w:color w:val="auto"/>
        </w:rPr>
      </w:pPr>
      <w:r>
        <w:rPr>
          <w:rFonts w:ascii="Arial" w:cs="Arial" w:eastAsia="Arial" w:hAnsi="Arial"/>
          <w:sz w:val="16"/>
          <w:szCs w:val="16"/>
          <w:color w:val="auto"/>
        </w:rPr>
        <w:t>Based on the review and discussions referred to above, the committee recommended to the board of directors that the audited financial statements be included in Abbott's Annual Report on Form 10-K for the year ended December 31, 2001 filed with the Securities and Exchange Commission.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Audit Committee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W. A. Reynolds, chairman, R. S. Austin, D. A. L. Owen, B. Powell Jr., and J. R.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679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2495" cy="6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2B85FF"/>
        </w:rPr>
        <w:t>Shareholder Proposal</w:t>
      </w:r>
    </w:p>
    <w:p>
      <w:pPr>
        <w:spacing w:after="0" w:line="217"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 xml:space="preserve">A shareholder proposal is included in this proxy statement. Abbott is advised that the proposal will be presented for action at the Annual Meeting. The proposed resolution and the statement made in support thereof are presented below. The names and addresses of the shareholders submitting the proposal will be furnished by Abbott to any person requesting such information. </w:t>
      </w:r>
      <w:r>
        <w:rPr>
          <w:rFonts w:ascii="Arial" w:cs="Arial" w:eastAsia="Arial" w:hAnsi="Arial"/>
          <w:sz w:val="16"/>
          <w:szCs w:val="16"/>
          <w:b w:val="1"/>
          <w:bCs w:val="1"/>
          <w:color w:val="auto"/>
        </w:rPr>
        <w:t>The board of directors recommends that you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62495"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2B85FF"/>
        </w:rPr>
        <w:t>Shareholder Proposal on HIV/AIDS-TB-Malaria (Item 3 on Proxy Card)</w:t>
      </w:r>
    </w:p>
    <w:p>
      <w:pPr>
        <w:spacing w:after="0" w:line="217" w:lineRule="exact"/>
        <w:rPr>
          <w:sz w:val="20"/>
          <w:szCs w:val="20"/>
          <w:color w:val="auto"/>
        </w:rPr>
      </w:pPr>
    </w:p>
    <w:p>
      <w:pPr>
        <w:ind w:right="340"/>
        <w:spacing w:after="0" w:line="287" w:lineRule="auto"/>
        <w:rPr>
          <w:sz w:val="20"/>
          <w:szCs w:val="20"/>
          <w:color w:val="auto"/>
        </w:rPr>
      </w:pPr>
      <w:r>
        <w:rPr>
          <w:rFonts w:ascii="Arial" w:cs="Arial" w:eastAsia="Arial" w:hAnsi="Arial"/>
          <w:sz w:val="16"/>
          <w:szCs w:val="16"/>
          <w:color w:val="auto"/>
        </w:rPr>
        <w:t>Whereas: The HIV/Aids epidemic constitutes a global emergency - one of the most formidable challenges to human life and dignity as well as to the effective enjoyment of human rights;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By the end of the year 2000, 36.1 million people worldwide were living with HIV/AIDS, 90% in developing countries and 75% in sub-Sahara Africa;</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All are affected by this epidemic, but people in developing countries are the most affected, and women, young adults and children, particularly girls, are the most vulnerable;</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African Heads of Governments have pledged to target at least 15% of their annual national budgets to address the HIV/AIDS epidemic. Actions to reach this target will need to be complemented by international assistance;</w:t>
      </w:r>
    </w:p>
    <w:p>
      <w:pPr>
        <w:spacing w:after="0" w:line="15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Tuberculosis is now the world's leading infectious killer, taking 2 million lives a year, and is a frequent complication of AIDS. Malaria causes 1.1 million deaths annually. Both diseases are growing more difficult to treat because of the spread of drug-resistant strains;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Access to medication in the context of such pandemics is a fundamental element of achieving physical and mental health;</w:t>
      </w:r>
    </w:p>
    <w:p>
      <w:pPr>
        <w:spacing w:after="0" w:line="21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Effective prevention, care and treatment strategies will require increased availability of, and nondiscriminatory access to, vaccines, sterile injecting equipment, drugs, including anti-retroviral therapy, diagnostics and related technologies, as well as increased research and development;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Availability and affordability of drugs and related technology are factors to be reviewed and addressed. There is need to reduce the cost of these drugs and technologies;</w:t>
      </w:r>
    </w:p>
    <w:p>
      <w:pPr>
        <w:spacing w:after="0" w:line="225" w:lineRule="exact"/>
        <w:rPr>
          <w:sz w:val="20"/>
          <w:szCs w:val="20"/>
          <w:color w:val="auto"/>
        </w:rPr>
      </w:pPr>
    </w:p>
    <w:p>
      <w:pPr>
        <w:ind w:right="680"/>
        <w:spacing w:after="0" w:line="287" w:lineRule="auto"/>
        <w:rPr>
          <w:sz w:val="20"/>
          <w:szCs w:val="20"/>
          <w:color w:val="auto"/>
        </w:rPr>
      </w:pPr>
      <w:r>
        <w:rPr>
          <w:rFonts w:ascii="Arial" w:cs="Arial" w:eastAsia="Arial" w:hAnsi="Arial"/>
          <w:sz w:val="16"/>
          <w:szCs w:val="16"/>
          <w:color w:val="auto"/>
        </w:rPr>
        <w:t>Some countries within the most seriously affected regions have begun to promote innovation and the development of domestic industries in order to increase access to medicines to protect the people's health;</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The impact of international trade agreements on access to or local manufacturing of, essential drugs and on the development of new drugs needs to be evaluated;</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THEREFORE BE IT RESOLVED: Shareholders request the Board of Directors to develop and implement a policy to provide pharmaceuticals for the prevention and treatment of HIV/AIDS, TB and Malaria in ways that the majority of infected persons in African nations can afford.</w:t>
      </w:r>
    </w:p>
    <w:p>
      <w:pPr>
        <w:spacing w:after="0" w:line="156"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A report of the development and implementation of such a policy (omitting proprietary information and at reasonable cost) would be sent to shareholders six months after the 2002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7262495"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2B85FF"/>
        </w:rPr>
        <w:t>Proponent's Statement in Support of Shareholder Proposal</w:t>
      </w:r>
    </w:p>
    <w:p>
      <w:pPr>
        <w:spacing w:after="0" w:line="217"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Pharmaceutical companies have the unique mission to provide health-giving medicines, often making the difference between life and death. This is the time for pharmaceutical companies to offer the kind of leadership necessary to address diseases that afflict so many people throughout the world, especially in African countries. "Making life-saving medicines more affordable for poor countries is vital for improving public health. More importantly, it is realistic." (Press Release, WHO/WTO Workshop-Pricing/Financing of Essential Drugs, April 11, 2001) One way to make needed drugs accessible and affordable is to grant voluntary licenses to African countries which request them. This would enable the production of generic drugs for prevention and treatment of infectious diseases. Improved access to effective and affordable medicines is essential for the people's health in these 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114935</wp:posOffset>
            </wp:positionV>
            <wp:extent cx="7262495" cy="20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2B85FF"/>
        </w:rPr>
        <w:t>Board of Directors Statement in Opposition to Shareholder Proposal on HIV/AIDS-TB-Malaria (Item 3 on Proxy Card)</w:t>
      </w:r>
    </w:p>
    <w:p>
      <w:pPr>
        <w:sectPr>
          <w:pgSz w:w="11900" w:h="16838" w:orient="portrait"/>
          <w:cols w:equalWidth="0" w:num="1">
            <w:col w:w="11420"/>
          </w:cols>
          <w:pgMar w:left="240" w:top="131" w:right="239" w:bottom="0" w:gutter="0" w:footer="0" w:header="0"/>
          <w:type w:val="continuous"/>
        </w:sectPr>
      </w:pPr>
    </w:p>
    <w:bookmarkStart w:id="14" w:name="page15"/>
    <w:bookmarkEnd w:id="14"/>
    <w:p>
      <w:pPr>
        <w:ind w:right="80"/>
        <w:spacing w:after="0" w:line="287" w:lineRule="auto"/>
        <w:rPr>
          <w:sz w:val="20"/>
          <w:szCs w:val="20"/>
          <w:color w:val="auto"/>
        </w:rPr>
      </w:pPr>
      <w:r>
        <w:rPr>
          <w:rFonts w:ascii="Arial" w:cs="Arial" w:eastAsia="Arial" w:hAnsi="Arial"/>
          <w:sz w:val="16"/>
          <w:szCs w:val="16"/>
          <w:color w:val="auto"/>
        </w:rPr>
        <w:t>Abbott Laboratories has several programs in place to help people in the developing world address what have come to be known as "diseases of poverty". The company's efforts are primarily focused on people with HIV/AIDS, because of Abbott's expertise in this area.</w:t>
      </w:r>
    </w:p>
    <w:p>
      <w:pPr>
        <w:spacing w:after="0" w:line="156"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In March 2000, Abbott announced that it would make its HIV protease inhibitor drugs, Norvir® and Kaletra®, and its HIV rapid test, Determine™, available in Africa at prices that return no profit to Abbott. In April of 2000 Abbott extended this offer to include all of the United Nations' list of Least Developed Countries, making a total of 68 developing countries in which these products can be accessed. To advance its efforts to expand access to its HIV/AIDS care products in these countries, Abbott is a part of the Accelerating Access Initiative, a joint effort by Abbott and other companies that produce anti-retroviral drugs, along with the World Health Organization (WHO) and UNAIDS, The Joint United Nations Programme on HIV/AIDS.</w:t>
      </w:r>
    </w:p>
    <w:p>
      <w:pPr>
        <w:spacing w:after="0" w:line="17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company has taken further steps to address the impact of HIV/AIDS in the developing world through its philanthropic program, Step Forward for the World's Children. Step Forward is a long-term, multi-million dollar effort to support AIDS orphans and vulnerable children in developing countries hit hard by AIDS. Step Forward supports or initiates programs to address health care, voluntary counseling and testing, education and basic community needs.</w:t>
      </w:r>
    </w:p>
    <w:p>
      <w:pPr>
        <w:spacing w:after="0" w:line="166"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Abbott is also making efforts to help developing countries address malaria. Through its acquisition of the pharmaceutical business of BASF, Abbott became a manufacturer of bulk artesunate, a compound that can be used to treat malaria. Abbott is working with the World Health Organization to supply bulk artesunate at no profit for the WHO's malaria treatment programs in developing countries.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Abbott has no products or expertise in the field of tuberculosis treatment.</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Abbott has already developed and implemented programs in these areas, and has announced many of them to the public. Therefore, the resolution is unnecessary.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recommends you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140970</wp:posOffset>
            </wp:positionV>
            <wp:extent cx="7262495" cy="679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2495" cy="6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2B85FF"/>
        </w:rPr>
        <w:t>Section 16(a) Beneficial Ownership Reporting Compliance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Abbott believes that during 2001 its officers and directors complied with all filing requirements under Section 16(a)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679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2495" cy="6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2B85FF"/>
        </w:rPr>
        <w:t>Other Matters</w:t>
      </w:r>
    </w:p>
    <w:p>
      <w:pPr>
        <w:spacing w:after="0" w:line="217"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In 1999, shareholder derivative actions were filed against Abbott's then current directors and certain former directors relating to Abbott's alleged noncompliance with the United States Food and Drug Administration's Quality System Regulation at Abbott's Diagnostic Division facilities in Lake County, Illinois. In March 2001, the United States District Court for the Northern District of Illinois dismissed these complaints. The plaintiffs have appealed to the United States Court of Appeals for the Seventh Circuit. That appeal remains pending. A virtually identical action filed in state court was also dismissed in light of the federal court dismissal. These derivative actions alleged the defendants breached their fiduciary duties by, among other things, allowing the alleged regulatory noncompliance and causing Abbott to pay $100 million to the federal government and withdraw certain medical diagnostic kits from the U.S. market. The plaintiffs requested unspecified monetary damages, including punitive and exemplary damages, to be paid to Abbott, reimbursement of their legal fees and costs, and various other forms of relief.</w:t>
      </w:r>
    </w:p>
    <w:p>
      <w:pPr>
        <w:spacing w:after="0" w:line="16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Shareholder derivative suits relating to the settlements reached by TAP Pharmaceutical Products Inc. with the United States Department of Justice and with each of the fifty states and the District of Columbia with respect to certain of TAP's marketing and pricing practices have been filed in the Circuit Court of Cook County, Illinois against all of Abbott's current directors, with the exception of R. A. Gonzalez (who was not a director at the time of the settlements). TAP is a 50 percent owned joint venture of Abbott. These derivative actions allege that the defendants breached their fiduciary duties by failing to take action to prevent these marketing and pricing practices. The plaintiffs request a return of salaries, reimbursement of their legal fees and costs, and various other forms of relief.</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As required by its articles of incorporation, Abbott has advanced defense costs on behalf of the present and former directors named in these suits.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679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2495" cy="6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2B85FF"/>
        </w:rPr>
        <w:t>Date for Receipt of Shareholder Proposals for the 2003 Annual Meeting Proxy Statement</w:t>
      </w:r>
    </w:p>
    <w:p>
      <w:pPr>
        <w:spacing w:after="0" w:line="217" w:lineRule="exact"/>
        <w:rPr>
          <w:sz w:val="20"/>
          <w:szCs w:val="20"/>
          <w:color w:val="auto"/>
        </w:rPr>
      </w:pPr>
    </w:p>
    <w:p>
      <w:pPr>
        <w:spacing w:after="0" w:line="322" w:lineRule="auto"/>
        <w:rPr>
          <w:sz w:val="20"/>
          <w:szCs w:val="20"/>
          <w:color w:val="auto"/>
        </w:rPr>
      </w:pPr>
      <w:r>
        <w:rPr>
          <w:rFonts w:ascii="Arial" w:cs="Arial" w:eastAsia="Arial" w:hAnsi="Arial"/>
          <w:sz w:val="15"/>
          <w:szCs w:val="15"/>
          <w:color w:val="auto"/>
        </w:rPr>
        <w:t>Shareholder proposals for presentation at the 2003 Annual Meeting must be received by Abbott no later than November 13, 2002 and must otherwise comply with the applicable requirements of the Securities and Exchange Commission to be considered for inclusion in the proxy statement and proxy for the 2003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7262495" cy="679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2495" cy="6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2B85FF"/>
        </w:rPr>
        <w:t>Procedure for Recommendation and Nomination of Directors and Transaction of Business at Annual Meeting</w:t>
      </w:r>
    </w:p>
    <w:p>
      <w:pPr>
        <w:spacing w:after="0" w:line="217" w:lineRule="exact"/>
        <w:rPr>
          <w:sz w:val="20"/>
          <w:szCs w:val="20"/>
          <w:color w:val="auto"/>
        </w:rPr>
      </w:pPr>
    </w:p>
    <w:p>
      <w:pPr>
        <w:ind w:right="200"/>
        <w:spacing w:after="0" w:line="362" w:lineRule="auto"/>
        <w:rPr>
          <w:sz w:val="20"/>
          <w:szCs w:val="20"/>
          <w:color w:val="auto"/>
        </w:rPr>
      </w:pPr>
      <w:r>
        <w:rPr>
          <w:rFonts w:ascii="Arial" w:cs="Arial" w:eastAsia="Arial" w:hAnsi="Arial"/>
          <w:sz w:val="14"/>
          <w:szCs w:val="14"/>
          <w:color w:val="auto"/>
        </w:rPr>
        <w:t>A shareholder may recommend persons as potential nominees for director by submitting the names of such persons in writing to the chairman of the nominations and board affairs committee or the secretary of Abbott. Recommendations should be accompanied by a statement of qualifications and confirmation of the person's willingness to serve.</w:t>
      </w:r>
    </w:p>
    <w:p>
      <w:pPr>
        <w:spacing w:after="0" w:line="110" w:lineRule="exact"/>
        <w:rPr>
          <w:sz w:val="20"/>
          <w:szCs w:val="20"/>
          <w:color w:val="auto"/>
        </w:rPr>
      </w:pPr>
    </w:p>
    <w:p>
      <w:pPr>
        <w:jc w:val="both"/>
        <w:ind w:right="40"/>
        <w:spacing w:after="0" w:line="291" w:lineRule="auto"/>
        <w:rPr>
          <w:sz w:val="20"/>
          <w:szCs w:val="20"/>
          <w:color w:val="auto"/>
        </w:rPr>
      </w:pPr>
      <w:r>
        <w:rPr>
          <w:rFonts w:ascii="Arial" w:cs="Arial" w:eastAsia="Arial" w:hAnsi="Arial"/>
          <w:sz w:val="15"/>
          <w:szCs w:val="15"/>
          <w:color w:val="auto"/>
        </w:rPr>
        <w:t>A shareholder may directly nominate persons for director only by complying with the following procedure: the shareholder must submit the names of such persons in writing to the secretary of Abbott not earlier than October 1 nor later than the first business day of January prior to the date of the Annual Meeting. The nominations must be accompanied by a statement setting forth the name, age, business address, residence address, principal occupation, qualifications, and number of shares of Abbott owned by the nominee and the name, record address, and number of shares of Abbott owned by the shareholder making the nomination.</w:t>
      </w:r>
    </w:p>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 shareholder may properly bring business before the Annual Meeting of Shareholders only by complying with the following procedure: the shareholder must submit to the secretary of Abbott, not earlier than October 1 nor later than the first business day of January prior to the date of the Annual Meeting, a written statement describing the business to be discussed, the reasons for conducting such business at the Annual Meeting, the name, record address, and number of shares of Abbott owned by the shareholder making the submission, and a description of any material interest of the shareholder in such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262495" cy="679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2495" cy="679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b w:val="1"/>
          <w:bCs w:val="1"/>
          <w:color w:val="2B85FF"/>
        </w:rPr>
        <w:t>General</w:t>
      </w:r>
    </w:p>
    <w:p>
      <w:pPr>
        <w:sectPr>
          <w:pgSz w:w="11900" w:h="16838" w:orient="portrait"/>
          <w:cols w:equalWidth="0" w:num="1">
            <w:col w:w="11420"/>
          </w:cols>
          <w:pgMar w:left="240" w:top="131" w:right="239" w:bottom="0" w:gutter="0" w:footer="0" w:header="0"/>
          <w:type w:val="continuous"/>
        </w:sectPr>
      </w:pPr>
    </w:p>
    <w:bookmarkStart w:id="15" w:name="page16"/>
    <w:bookmarkEnd w:id="15"/>
    <w:p>
      <w:pPr>
        <w:ind w:right="20"/>
        <w:spacing w:after="0" w:line="273" w:lineRule="auto"/>
        <w:rPr>
          <w:sz w:val="20"/>
          <w:szCs w:val="20"/>
          <w:color w:val="auto"/>
        </w:rPr>
      </w:pPr>
      <w:r>
        <w:rPr>
          <w:rFonts w:ascii="Arial" w:cs="Arial" w:eastAsia="Arial" w:hAnsi="Arial"/>
          <w:sz w:val="16"/>
          <w:szCs w:val="16"/>
          <w:color w:val="auto"/>
        </w:rPr>
        <w:t>It is important that proxies be returned promptly. Shareholders are urged, regardless of the number of shares owned, to vote their shares. Most of Abbott's shareholders may vote their shares by telephone or the Internet. Shareholders who wish to vote by mail should sign and return their proxy card in the enclosed business reply envelope. Shareholders who vote by telephone or the Internet do not need to return their proxy card.</w:t>
      </w:r>
    </w:p>
    <w:p>
      <w:pPr>
        <w:spacing w:after="0" w:line="166"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The Annual Meeting will be held at Abbott's headquarters, 100 Abbott Park Road, located at the intersection of Route 137 and Waukegan Road, Lake County, Illinois. Admission to the meeting will be by admission card only. A shareholder planning to attend the meeting should promptly complete and return the reservation form. Reservation forms must be received before April 19, 2002. An admission card admits no more than two people.</w:t>
      </w:r>
    </w:p>
    <w:p>
      <w:pPr>
        <w:spacing w:after="0" w:line="166"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By order of the board of directors.</w:t>
      </w:r>
    </w:p>
    <w:p>
      <w:pPr>
        <w:spacing w:after="0" w:line="213"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JOSE M. DE LASA</w:t>
      </w:r>
    </w:p>
    <w:p>
      <w:pPr>
        <w:spacing w:after="0" w:line="2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409575" cy="3625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09575" cy="362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2B85FF"/>
        </w:rPr>
        <w:t>Abbott Laboratories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2B85FF"/>
        </w:rPr>
        <w:t>100 Abbott Park Road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2B85FF"/>
        </w:rPr>
        <w:t>Abbott Park, Illinois 60064-6400 U.S.A.</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Annual Meeting</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 Shareholders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and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Meeting Date</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April 26,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128905</wp:posOffset>
            </wp:positionV>
            <wp:extent cx="2384425"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84425" cy="2032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VOTE IS IMPORTANT!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Please sign and promptly return your proxy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 the enclosed envelope or vote your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shares by telephone or using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2384425"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384425" cy="203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212725</wp:posOffset>
            </wp:positionV>
            <wp:extent cx="7262495" cy="20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Reservation Form for Annual Meeting</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 am a shareholder of Abbott Laboratories and plan to attend the Annual</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Meeting to be held at Abbott's headquarters, 100 Abbott Park Road,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located at the intersection of Route 137 and Waukegan Road, Lake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County, Illinois at 9:00 a.m. on Friday, April 26, 2002.</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Please send me an admission card.</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7262495"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Please Print Name of Shareholder</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7262495"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Please Print Name of Guest</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7262495" cy="20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3880" w:val="left"/>
          <w:tab w:leader="none" w:pos="7760" w:val="left"/>
        </w:tabs>
        <w:rPr>
          <w:sz w:val="20"/>
          <w:szCs w:val="20"/>
          <w:color w:val="auto"/>
        </w:rPr>
      </w:pPr>
      <w:r>
        <w:rPr>
          <w:rFonts w:ascii="Arial" w:cs="Arial" w:eastAsia="Arial" w:hAnsi="Arial"/>
          <w:sz w:val="16"/>
          <w:szCs w:val="16"/>
          <w:color w:val="auto"/>
        </w:rPr>
        <w:t>City</w:t>
      </w:r>
      <w:r>
        <w:rPr>
          <w:sz w:val="20"/>
          <w:szCs w:val="20"/>
          <w:color w:val="auto"/>
        </w:rPr>
        <w:tab/>
      </w:r>
      <w:r>
        <w:rPr>
          <w:rFonts w:ascii="Arial" w:cs="Arial" w:eastAsia="Arial" w:hAnsi="Arial"/>
          <w:sz w:val="16"/>
          <w:szCs w:val="16"/>
          <w:color w:val="auto"/>
        </w:rPr>
        <w:t>State</w:t>
      </w:r>
      <w:r>
        <w:rPr>
          <w:sz w:val="20"/>
          <w:szCs w:val="20"/>
          <w:color w:val="auto"/>
        </w:rPr>
        <w:tab/>
      </w:r>
      <w:r>
        <w:rPr>
          <w:rFonts w:ascii="Arial" w:cs="Arial" w:eastAsia="Arial" w:hAnsi="Arial"/>
          <w:sz w:val="14"/>
          <w:szCs w:val="14"/>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7262495" cy="20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Area code and 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7262495" cy="20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469265</wp:posOffset>
            </wp:positionV>
            <wp:extent cx="7262495" cy="20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5680"/>
        <w:spacing w:after="0" w:line="304" w:lineRule="auto"/>
        <w:rPr>
          <w:sz w:val="20"/>
          <w:szCs w:val="20"/>
          <w:color w:val="auto"/>
        </w:rPr>
      </w:pPr>
      <w:r>
        <w:rPr>
          <w:rFonts w:ascii="Arial" w:cs="Arial" w:eastAsia="Arial" w:hAnsi="Arial"/>
          <w:sz w:val="14"/>
          <w:szCs w:val="14"/>
          <w:b w:val="1"/>
          <w:bCs w:val="1"/>
          <w:color w:val="auto"/>
        </w:rPr>
        <w:t>If you plan to attend the meeting, please complete and return the Reservation Form directly to Abbott Laboratories, Annual Meeting Ticket Requests, D-32L AP6D,</w:t>
      </w:r>
    </w:p>
    <w:p>
      <w:pPr>
        <w:ind w:right="380"/>
        <w:spacing w:after="0" w:line="259" w:lineRule="auto"/>
        <w:rPr>
          <w:sz w:val="20"/>
          <w:szCs w:val="20"/>
          <w:color w:val="auto"/>
        </w:rPr>
      </w:pPr>
      <w:r>
        <w:rPr>
          <w:rFonts w:ascii="Arial" w:cs="Arial" w:eastAsia="Arial" w:hAnsi="Arial"/>
          <w:sz w:val="16"/>
          <w:szCs w:val="16"/>
          <w:b w:val="1"/>
          <w:bCs w:val="1"/>
          <w:color w:val="auto"/>
        </w:rPr>
        <w:t>100 Abbott Park Road, Abbott Park, Illinois 60064-6049. Due to space limitations, Reservation Forms must be received before April 19, 2002. An admission card admits no more than two people.</w:t>
      </w:r>
    </w:p>
    <w:p>
      <w:pPr>
        <w:spacing w:after="0"/>
        <w:rPr>
          <w:sz w:val="20"/>
          <w:szCs w:val="20"/>
          <w:color w:val="auto"/>
        </w:rPr>
      </w:pPr>
      <w:r>
        <w:rPr>
          <w:rFonts w:ascii="Arial" w:cs="Arial" w:eastAsia="Arial" w:hAnsi="Arial"/>
          <w:sz w:val="16"/>
          <w:szCs w:val="16"/>
          <w:b w:val="1"/>
          <w:bCs w:val="1"/>
          <w:color w:val="auto"/>
        </w:rPr>
        <w:t>To avoid a delay in the receipt of your admission card, do not return this form with</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proxy card or mail it in the enclosed business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31" w:right="239" w:bottom="1072" w:gutter="0" w:footer="0" w:header="0"/>
        </w:sectPr>
      </w:pPr>
    </w:p>
    <w:bookmarkStart w:id="16" w:name="page17"/>
    <w:bookmarkEnd w:id="16"/>
    <w:p>
      <w:pPr>
        <w:jc w:val="cente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3217545</wp:posOffset>
            </wp:positionH>
            <wp:positionV relativeFrom="page">
              <wp:posOffset>88900</wp:posOffset>
            </wp:positionV>
            <wp:extent cx="1134745" cy="6858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1134745" cy="685800"/>
                    </a:xfrm>
                    <a:prstGeom prst="rect">
                      <a:avLst/>
                    </a:prstGeom>
                    <a:noFill/>
                  </pic:spPr>
                </pic:pic>
              </a:graphicData>
            </a:graphic>
          </wp:anchor>
        </w:drawing>
        <w:t>DETACH HERE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PROXY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ABBOTT LABORATORIES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SOLICITED ON BEHALF OF THE BOARD OF DIRECTORS</w:t>
      </w:r>
    </w:p>
    <w:p>
      <w:pPr>
        <w:spacing w:after="0" w:line="217" w:lineRule="exact"/>
        <w:rPr>
          <w:sz w:val="20"/>
          <w:szCs w:val="20"/>
          <w:color w:val="auto"/>
        </w:rPr>
      </w:pPr>
    </w:p>
    <w:p>
      <w:pPr>
        <w:ind w:left="1" w:right="280" w:firstLine="320"/>
        <w:spacing w:after="0" w:line="301" w:lineRule="auto"/>
        <w:rPr>
          <w:sz w:val="20"/>
          <w:szCs w:val="20"/>
          <w:color w:val="auto"/>
        </w:rPr>
      </w:pPr>
      <w:r>
        <w:rPr>
          <w:rFonts w:ascii="Arial" w:cs="Arial" w:eastAsia="Arial" w:hAnsi="Arial"/>
          <w:sz w:val="14"/>
          <w:szCs w:val="14"/>
          <w:color w:val="auto"/>
        </w:rPr>
        <w:t>The undersigned, revoking previous proxies, acknowledges receipt of the Notice and Proxy Statement dated March 12, 2002, in connection with the Annual Meeting of Shareholders of Abbott Laboratories to be held at 9:00 a.m. on April 26, 2002, at the corporation's headquarters, and hereby appoints MILES D. WHITE and JOSE M.</w:t>
      </w:r>
    </w:p>
    <w:p>
      <w:pPr>
        <w:ind w:left="1" w:right="100"/>
        <w:spacing w:after="0" w:line="278" w:lineRule="auto"/>
        <w:rPr>
          <w:sz w:val="20"/>
          <w:szCs w:val="20"/>
          <w:color w:val="auto"/>
        </w:rPr>
      </w:pPr>
      <w:r>
        <w:rPr>
          <w:rFonts w:ascii="Arial" w:cs="Arial" w:eastAsia="Arial" w:hAnsi="Arial"/>
          <w:sz w:val="16"/>
          <w:szCs w:val="16"/>
          <w:color w:val="auto"/>
        </w:rPr>
        <w:t>DE LASA, or either of them, proxy for the undersigned, with power of substitution, to represent and vote all shares of the undersigned upon all matters properly coming before the Annual Meeting or any adjournments thereof.</w:t>
      </w:r>
    </w:p>
    <w:p>
      <w:pPr>
        <w:spacing w:after="0" w:line="162" w:lineRule="exact"/>
        <w:rPr>
          <w:sz w:val="20"/>
          <w:szCs w:val="20"/>
          <w:color w:val="auto"/>
        </w:rPr>
      </w:pPr>
    </w:p>
    <w:p>
      <w:pPr>
        <w:ind w:left="1" w:right="80" w:firstLine="323"/>
        <w:spacing w:after="0" w:line="273" w:lineRule="auto"/>
        <w:rPr>
          <w:sz w:val="20"/>
          <w:szCs w:val="20"/>
          <w:color w:val="auto"/>
        </w:rPr>
      </w:pPr>
      <w:r>
        <w:rPr>
          <w:rFonts w:ascii="Arial" w:cs="Arial" w:eastAsia="Arial" w:hAnsi="Arial"/>
          <w:sz w:val="16"/>
          <w:szCs w:val="16"/>
          <w:color w:val="auto"/>
        </w:rPr>
        <w:t>If the undersigned is a participant in the Abbott Laboratories Stock Retirement Plan, then this card also instructs the plan's co-trustees to vote as specified at the 2002 Annual Meeting of Shareholders, and any adjournments thereof, all shares of Abbott Laboratories held in the undersigned's plan account upon the matters indicated and in their discretion upon such other matters as may properly come before the meeting.</w:t>
      </w:r>
    </w:p>
    <w:p>
      <w:pPr>
        <w:spacing w:after="0" w:line="162" w:lineRule="exact"/>
        <w:rPr>
          <w:sz w:val="20"/>
          <w:szCs w:val="20"/>
          <w:color w:val="auto"/>
        </w:rPr>
      </w:pPr>
    </w:p>
    <w:p>
      <w:pPr>
        <w:ind w:left="1" w:right="180" w:firstLine="323"/>
        <w:spacing w:after="0" w:line="292" w:lineRule="auto"/>
        <w:rPr>
          <w:sz w:val="20"/>
          <w:szCs w:val="20"/>
          <w:color w:val="auto"/>
        </w:rPr>
      </w:pPr>
      <w:r>
        <w:rPr>
          <w:rFonts w:ascii="Arial" w:cs="Arial" w:eastAsia="Arial" w:hAnsi="Arial"/>
          <w:sz w:val="16"/>
          <w:szCs w:val="16"/>
          <w:b w:val="1"/>
          <w:bCs w:val="1"/>
          <w:color w:val="auto"/>
        </w:rPr>
        <w:t>INSTRUCTIONS: This proxy when properly executed will be voted in the manner directed herein by the undersigned shareholder. If no direction is made, this proxy will be voted FOR Items 1 and 2 and AGAINST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1533525" cy="20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33525" cy="20320"/>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162560</wp:posOffset>
            </wp:positionV>
            <wp:extent cx="1454785"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54785" cy="20320"/>
                    </a:xfrm>
                    <a:prstGeom prst="rect">
                      <a:avLst/>
                    </a:prstGeom>
                    <a:noFill/>
                  </pic:spPr>
                </pic:pic>
              </a:graphicData>
            </a:graphic>
          </wp:anchor>
        </w:drawing>
      </w:r>
    </w:p>
    <w:p>
      <w:pPr>
        <w:spacing w:after="0" w:line="351" w:lineRule="exact"/>
        <w:rPr>
          <w:sz w:val="20"/>
          <w:szCs w:val="20"/>
          <w:color w:val="auto"/>
        </w:rPr>
      </w:pPr>
    </w:p>
    <w:tbl>
      <w:tblPr>
        <w:tblLayout w:type="fixed"/>
        <w:tblInd w:w="1" w:type="dxa"/>
        <w:tblCellMar>
          <w:top w:w="0" w:type="dxa"/>
          <w:left w:w="0" w:type="dxa"/>
          <w:bottom w:w="0" w:type="dxa"/>
          <w:right w:w="0" w:type="dxa"/>
        </w:tblCellMar>
      </w:tblPr>
      <w:tr>
        <w:trPr>
          <w:trHeight w:val="199"/>
        </w:trPr>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9"/>
              </w:rPr>
              <w:t>SEE REVERSE</w:t>
            </w:r>
          </w:p>
        </w:tc>
        <w:tc>
          <w:tcPr>
            <w:tcW w:w="6740" w:type="dxa"/>
            <w:vAlign w:val="bottom"/>
          </w:tcPr>
          <w:p>
            <w:pPr>
              <w:ind w:left="1720"/>
              <w:spacing w:after="0"/>
              <w:rPr>
                <w:sz w:val="20"/>
                <w:szCs w:val="20"/>
                <w:color w:val="auto"/>
              </w:rPr>
            </w:pPr>
            <w:r>
              <w:rPr>
                <w:rFonts w:ascii="Arial" w:cs="Arial" w:eastAsia="Arial" w:hAnsi="Arial"/>
                <w:sz w:val="16"/>
                <w:szCs w:val="16"/>
                <w:b w:val="1"/>
                <w:bCs w:val="1"/>
                <w:color w:val="auto"/>
              </w:rPr>
              <w:t>(Important - Please sign and date on other side.)</w:t>
            </w: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7"/>
              </w:rPr>
              <w:t>SEE REVERSE</w:t>
            </w:r>
          </w:p>
        </w:tc>
      </w:tr>
      <w:tr>
        <w:trPr>
          <w:trHeight w:val="210"/>
        </w:trPr>
        <w:tc>
          <w:tcPr>
            <w:tcW w:w="2400" w:type="dxa"/>
            <w:vAlign w:val="bottom"/>
          </w:tcPr>
          <w:p>
            <w:pPr>
              <w:jc w:val="center"/>
              <w:spacing w:after="0"/>
              <w:rPr>
                <w:sz w:val="20"/>
                <w:szCs w:val="20"/>
                <w:color w:val="auto"/>
              </w:rPr>
            </w:pPr>
            <w:r>
              <w:rPr>
                <w:rFonts w:ascii="Arial" w:cs="Arial" w:eastAsia="Arial" w:hAnsi="Arial"/>
                <w:sz w:val="16"/>
                <w:szCs w:val="16"/>
                <w:b w:val="1"/>
                <w:bCs w:val="1"/>
                <w:color w:val="auto"/>
              </w:rPr>
              <w:t>SIDE</w:t>
            </w:r>
          </w:p>
        </w:tc>
        <w:tc>
          <w:tcPr>
            <w:tcW w:w="674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rPr>
              <w:t>SIDE</w:t>
            </w:r>
          </w:p>
        </w:tc>
      </w:tr>
      <w:tr>
        <w:trPr>
          <w:trHeight w:val="110"/>
        </w:trPr>
        <w:tc>
          <w:tcPr>
            <w:tcW w:w="2400" w:type="dxa"/>
            <w:vAlign w:val="bottom"/>
            <w:tcBorders>
              <w:bottom w:val="single" w:sz="8" w:color="808080"/>
            </w:tcBorders>
          </w:tcPr>
          <w:p>
            <w:pPr>
              <w:spacing w:after="0"/>
              <w:rPr>
                <w:sz w:val="9"/>
                <w:szCs w:val="9"/>
                <w:color w:val="auto"/>
              </w:rPr>
            </w:pPr>
          </w:p>
        </w:tc>
        <w:tc>
          <w:tcPr>
            <w:tcW w:w="674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r>
      <w:tr>
        <w:trPr>
          <w:trHeight w:val="203"/>
        </w:trPr>
        <w:tc>
          <w:tcPr>
            <w:tcW w:w="2400" w:type="dxa"/>
            <w:vAlign w:val="bottom"/>
            <w:tcBorders>
              <w:bottom w:val="single" w:sz="8" w:color="808080"/>
            </w:tcBorders>
          </w:tcPr>
          <w:p>
            <w:pPr>
              <w:spacing w:after="0"/>
              <w:rPr>
                <w:sz w:val="17"/>
                <w:szCs w:val="17"/>
                <w:color w:val="auto"/>
              </w:rPr>
            </w:pPr>
          </w:p>
        </w:tc>
        <w:tc>
          <w:tcPr>
            <w:tcW w:w="6740" w:type="dxa"/>
            <w:vAlign w:val="bottom"/>
            <w:tcBorders>
              <w:bottom w:val="single" w:sz="8" w:color="808080"/>
            </w:tcBorders>
          </w:tcPr>
          <w:p>
            <w:pPr>
              <w:spacing w:after="0"/>
              <w:rPr>
                <w:sz w:val="17"/>
                <w:szCs w:val="17"/>
                <w:color w:val="auto"/>
              </w:rPr>
            </w:pPr>
          </w:p>
        </w:tc>
        <w:tc>
          <w:tcPr>
            <w:tcW w:w="228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-155575</wp:posOffset>
            </wp:positionV>
            <wp:extent cx="1270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-155575</wp:posOffset>
            </wp:positionV>
            <wp:extent cx="1270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-155575</wp:posOffset>
            </wp:positionV>
            <wp:extent cx="1270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-155575</wp:posOffset>
            </wp:positionV>
            <wp:extent cx="1270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ABBOTT LABORATORIES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2037715" cy="20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037715" cy="20320"/>
                    </a:xfrm>
                    <a:prstGeom prst="rect">
                      <a:avLst/>
                    </a:prstGeom>
                    <a:noFill/>
                  </pic:spPr>
                </pic:pic>
              </a:graphicData>
            </a:graphic>
          </wp:anchor>
        </w:drawing>
        <w:drawing>
          <wp:anchor simplePos="0" relativeHeight="251657728" behindDoc="1" locked="0" layoutInCell="0" allowOverlap="1">
            <wp:simplePos x="0" y="0"/>
            <wp:positionH relativeFrom="column">
              <wp:posOffset>3780155</wp:posOffset>
            </wp:positionH>
            <wp:positionV relativeFrom="paragraph">
              <wp:posOffset>198755</wp:posOffset>
            </wp:positionV>
            <wp:extent cx="2037715" cy="20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037715" cy="20320"/>
                    </a:xfrm>
                    <a:prstGeom prst="rect">
                      <a:avLst/>
                    </a:prstGeom>
                    <a:noFill/>
                  </pic:spPr>
                </pic:pic>
              </a:graphicData>
            </a:graphic>
          </wp:anchor>
        </w:drawing>
      </w:r>
    </w:p>
    <w:p>
      <w:pPr>
        <w:sectPr>
          <w:pgSz w:w="11900" w:h="16838" w:orient="portrait"/>
          <w:cols w:equalWidth="0" w:num="1">
            <w:col w:w="11421"/>
          </w:cols>
          <w:pgMar w:left="239" w:top="1409" w:right="239" w:bottom="0" w:gutter="0" w:footer="0" w:header="0"/>
        </w:sectPr>
      </w:pPr>
    </w:p>
    <w:p>
      <w:pPr>
        <w:spacing w:after="0" w:line="200" w:lineRule="exact"/>
        <w:rPr>
          <w:sz w:val="20"/>
          <w:szCs w:val="20"/>
          <w:color w:val="auto"/>
        </w:rPr>
      </w:pPr>
    </w:p>
    <w:p>
      <w:pPr>
        <w:spacing w:after="0" w:line="214"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Vote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2037715" cy="20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037715" cy="20320"/>
                    </a:xfrm>
                    <a:prstGeom prst="rect">
                      <a:avLst/>
                    </a:prstGeom>
                    <a:noFill/>
                  </pic:spPr>
                </pic:pic>
              </a:graphicData>
            </a:graphic>
          </wp:anchor>
        </w:drawing>
      </w:r>
    </w:p>
    <w:p>
      <w:pPr>
        <w:spacing w:after="0" w:line="266" w:lineRule="exact"/>
        <w:rPr>
          <w:sz w:val="20"/>
          <w:szCs w:val="20"/>
          <w:color w:val="auto"/>
        </w:rPr>
      </w:pPr>
    </w:p>
    <w:p>
      <w:pPr>
        <w:ind w:left="1"/>
        <w:spacing w:after="0"/>
        <w:rPr>
          <w:sz w:val="20"/>
          <w:szCs w:val="20"/>
          <w:color w:val="auto"/>
        </w:rPr>
      </w:pPr>
      <w:r>
        <w:rPr>
          <w:rFonts w:ascii="Arial" w:cs="Arial" w:eastAsia="Arial" w:hAnsi="Arial"/>
          <w:sz w:val="16"/>
          <w:szCs w:val="16"/>
          <w:color w:val="auto"/>
        </w:rPr>
        <w:t>It's fast, convenient, and immediate!</w:t>
      </w:r>
    </w:p>
    <w:p>
      <w:pPr>
        <w:spacing w:after="0" w:line="22" w:lineRule="exact"/>
        <w:rPr>
          <w:sz w:val="20"/>
          <w:szCs w:val="20"/>
          <w:color w:val="auto"/>
        </w:rPr>
      </w:pPr>
    </w:p>
    <w:p>
      <w:pPr>
        <w:ind w:left="1"/>
        <w:spacing w:after="0"/>
        <w:rPr>
          <w:sz w:val="20"/>
          <w:szCs w:val="20"/>
          <w:color w:val="auto"/>
        </w:rPr>
      </w:pPr>
      <w:r>
        <w:rPr>
          <w:rFonts w:ascii="Arial" w:cs="Arial" w:eastAsia="Arial" w:hAnsi="Arial"/>
          <w:sz w:val="16"/>
          <w:szCs w:val="16"/>
          <w:color w:val="auto"/>
        </w:rPr>
        <w:t>Call Toll-Free on a Touch-Tone Phone</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1-877-PRX-VOTE (1-877-779-8683).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3574415" cy="20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574415" cy="20320"/>
                    </a:xfrm>
                    <a:prstGeom prst="rect">
                      <a:avLst/>
                    </a:prstGeom>
                    <a:noFill/>
                  </pic:spPr>
                </pic:pic>
              </a:graphicData>
            </a:graphic>
          </wp:anchor>
        </w:drawing>
      </w:r>
    </w:p>
    <w:p>
      <w:pPr>
        <w:spacing w:after="0" w:line="20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Follow these four easy steps:</w:t>
      </w:r>
    </w:p>
    <w:p>
      <w:pPr>
        <w:spacing w:after="0" w:line="26" w:lineRule="exact"/>
        <w:rPr>
          <w:sz w:val="20"/>
          <w:szCs w:val="20"/>
          <w:color w:val="auto"/>
        </w:rPr>
      </w:pPr>
    </w:p>
    <w:p>
      <w:pPr>
        <w:ind w:left="701" w:hanging="701"/>
        <w:spacing w:after="0"/>
        <w:tabs>
          <w:tab w:leader="none" w:pos="701"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Read the accompanying Proxy Statement and Proxy Card.</w:t>
      </w:r>
    </w:p>
    <w:p>
      <w:pPr>
        <w:spacing w:after="0" w:line="14" w:lineRule="exact"/>
        <w:rPr>
          <w:rFonts w:ascii="Arial" w:cs="Arial" w:eastAsia="Arial" w:hAnsi="Arial"/>
          <w:sz w:val="16"/>
          <w:szCs w:val="16"/>
          <w:b w:val="1"/>
          <w:bCs w:val="1"/>
          <w:color w:val="auto"/>
        </w:rPr>
      </w:pPr>
    </w:p>
    <w:p>
      <w:pPr>
        <w:ind w:left="701" w:hanging="701"/>
        <w:spacing w:after="0"/>
        <w:tabs>
          <w:tab w:leader="none" w:pos="701"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Call the toll-free number</w:t>
      </w:r>
    </w:p>
    <w:p>
      <w:pPr>
        <w:spacing w:after="0" w:line="14" w:lineRule="exact"/>
        <w:rPr>
          <w:rFonts w:ascii="Arial" w:cs="Arial" w:eastAsia="Arial" w:hAnsi="Arial"/>
          <w:sz w:val="16"/>
          <w:szCs w:val="16"/>
          <w:b w:val="1"/>
          <w:bCs w:val="1"/>
          <w:color w:val="auto"/>
        </w:rPr>
      </w:pPr>
    </w:p>
    <w:p>
      <w:pPr>
        <w:ind w:left="701" w:right="2380"/>
        <w:spacing w:after="0" w:line="276" w:lineRule="auto"/>
        <w:rPr>
          <w:rFonts w:ascii="Arial" w:cs="Arial" w:eastAsia="Arial" w:hAnsi="Arial"/>
          <w:sz w:val="16"/>
          <w:szCs w:val="16"/>
          <w:b w:val="1"/>
          <w:bCs w:val="1"/>
          <w:color w:val="auto"/>
        </w:rPr>
      </w:pPr>
      <w:r>
        <w:rPr>
          <w:rFonts w:ascii="Arial" w:cs="Arial" w:eastAsia="Arial" w:hAnsi="Arial"/>
          <w:sz w:val="15"/>
          <w:szCs w:val="15"/>
          <w:b w:val="1"/>
          <w:bCs w:val="1"/>
          <w:color w:val="auto"/>
        </w:rPr>
        <w:t>1-877-PRX-VOTE (1-877-779-8683). For shareholders residing outside the United States call collect on a touch-tone phone 1-201-536-8073.</w:t>
      </w:r>
    </w:p>
    <w:p>
      <w:pPr>
        <w:ind w:left="701" w:hanging="701"/>
        <w:spacing w:after="0" w:line="259" w:lineRule="auto"/>
        <w:tabs>
          <w:tab w:leader="none" w:pos="701"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Enter your 14-digit Voter Control Number located on your Proxy Card above your name.</w:t>
      </w:r>
    </w:p>
    <w:p>
      <w:pPr>
        <w:ind w:left="701" w:hanging="701"/>
        <w:spacing w:after="0"/>
        <w:tabs>
          <w:tab w:leader="none" w:pos="701"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Follow the recorded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3574415" cy="20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574415"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82550</wp:posOffset>
            </wp:positionV>
            <wp:extent cx="2037715" cy="20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037715" cy="2032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It's fast, convenient, and your vote is immediately confirmed and posted.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327660</wp:posOffset>
            </wp:positionV>
            <wp:extent cx="3479800" cy="20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7980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Follow these four easy steps:</w:t>
      </w:r>
    </w:p>
    <w:p>
      <w:pPr>
        <w:spacing w:after="0" w:line="26" w:lineRule="exact"/>
        <w:rPr>
          <w:sz w:val="20"/>
          <w:szCs w:val="20"/>
          <w:color w:val="auto"/>
        </w:rPr>
      </w:pPr>
    </w:p>
    <w:p>
      <w:pPr>
        <w:ind w:left="680" w:hanging="664"/>
        <w:spacing w:after="0"/>
        <w:tabs>
          <w:tab w:leader="none" w:pos="68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Read the accompanying Proxy Statement and Proxy Card.</w:t>
      </w:r>
    </w:p>
    <w:p>
      <w:pPr>
        <w:spacing w:after="0" w:line="14" w:lineRule="exact"/>
        <w:rPr>
          <w:rFonts w:ascii="Arial" w:cs="Arial" w:eastAsia="Arial" w:hAnsi="Arial"/>
          <w:sz w:val="16"/>
          <w:szCs w:val="16"/>
          <w:b w:val="1"/>
          <w:bCs w:val="1"/>
          <w:color w:val="auto"/>
        </w:rPr>
      </w:pPr>
    </w:p>
    <w:p>
      <w:pPr>
        <w:ind w:left="680" w:right="2620" w:hanging="664"/>
        <w:spacing w:after="0" w:line="295" w:lineRule="auto"/>
        <w:tabs>
          <w:tab w:leader="none" w:pos="68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Go to the Website http://www.eproxyvote.com/abt</w:t>
      </w:r>
    </w:p>
    <w:p>
      <w:pPr>
        <w:spacing w:after="0" w:line="1" w:lineRule="exact"/>
        <w:rPr>
          <w:rFonts w:ascii="Arial" w:cs="Arial" w:eastAsia="Arial" w:hAnsi="Arial"/>
          <w:sz w:val="14"/>
          <w:szCs w:val="14"/>
          <w:b w:val="1"/>
          <w:bCs w:val="1"/>
          <w:color w:val="auto"/>
        </w:rPr>
      </w:pPr>
    </w:p>
    <w:p>
      <w:pPr>
        <w:ind w:left="680" w:right="300" w:hanging="664"/>
        <w:spacing w:after="0" w:line="259" w:lineRule="auto"/>
        <w:tabs>
          <w:tab w:leader="none" w:pos="68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Enter your 14-digit Voter Control Number located on your Proxy Card above your</w:t>
      </w:r>
    </w:p>
    <w:p>
      <w:pPr>
        <w:ind w:left="68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name.</w:t>
      </w:r>
    </w:p>
    <w:p>
      <w:pPr>
        <w:spacing w:after="0" w:line="14" w:lineRule="exact"/>
        <w:rPr>
          <w:rFonts w:ascii="Arial" w:cs="Arial" w:eastAsia="Arial" w:hAnsi="Arial"/>
          <w:sz w:val="16"/>
          <w:szCs w:val="16"/>
          <w:b w:val="1"/>
          <w:bCs w:val="1"/>
          <w:color w:val="auto"/>
        </w:rPr>
      </w:pPr>
    </w:p>
    <w:p>
      <w:pPr>
        <w:ind w:left="680" w:hanging="664"/>
        <w:spacing w:after="0"/>
        <w:tabs>
          <w:tab w:leader="none" w:pos="68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Follow the instructions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323215</wp:posOffset>
            </wp:positionV>
            <wp:extent cx="3479800" cy="20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79800" cy="20320"/>
                    </a:xfrm>
                    <a:prstGeom prst="rect">
                      <a:avLst/>
                    </a:prstGeom>
                    <a:noFill/>
                  </pic:spPr>
                </pic:pic>
              </a:graphicData>
            </a:graphic>
          </wp:anchor>
        </w:drawing>
      </w:r>
    </w:p>
    <w:p>
      <w:pPr>
        <w:spacing w:after="0" w:line="597" w:lineRule="exact"/>
        <w:rPr>
          <w:sz w:val="20"/>
          <w:szCs w:val="20"/>
          <w:color w:val="auto"/>
        </w:rPr>
      </w:pPr>
    </w:p>
    <w:p>
      <w:pPr>
        <w:sectPr>
          <w:pgSz w:w="11900" w:h="16838" w:orient="portrait"/>
          <w:cols w:equalWidth="0" w:num="2">
            <w:col w:w="5581" w:space="360"/>
            <w:col w:w="5480"/>
          </w:cols>
          <w:pgMar w:left="239" w:top="1409" w:right="239" w:bottom="0" w:gutter="0" w:footer="0" w:header="0"/>
          <w:type w:val="continuous"/>
        </w:sectPr>
      </w:pPr>
    </w:p>
    <w:p>
      <w:pPr>
        <w:spacing w:after="0" w:line="14" w:lineRule="exact"/>
        <w:rPr>
          <w:sz w:val="20"/>
          <w:szCs w:val="20"/>
          <w:color w:val="auto"/>
        </w:rPr>
      </w:pPr>
    </w:p>
    <w:tbl>
      <w:tblPr>
        <w:tblLayout w:type="fixed"/>
        <w:tblInd w:w="1" w:type="dxa"/>
        <w:tblCellMar>
          <w:top w:w="0" w:type="dxa"/>
          <w:left w:w="0" w:type="dxa"/>
          <w:bottom w:w="0" w:type="dxa"/>
          <w:right w:w="0" w:type="dxa"/>
        </w:tblCellMar>
      </w:tblPr>
      <w:tr>
        <w:trPr>
          <w:trHeight w:val="236"/>
        </w:trPr>
        <w:tc>
          <w:tcPr>
            <w:tcW w:w="3560" w:type="dxa"/>
            <w:vAlign w:val="bottom"/>
            <w:gridSpan w:val="2"/>
          </w:tcPr>
          <w:p>
            <w:pPr>
              <w:spacing w:after="0"/>
              <w:rPr>
                <w:sz w:val="20"/>
                <w:szCs w:val="20"/>
                <w:color w:val="auto"/>
              </w:rPr>
            </w:pPr>
            <w:r>
              <w:rPr>
                <w:rFonts w:ascii="Arial" w:cs="Arial" w:eastAsia="Arial" w:hAnsi="Arial"/>
                <w:sz w:val="20"/>
                <w:szCs w:val="20"/>
                <w:b w:val="1"/>
                <w:bCs w:val="1"/>
                <w:color w:val="auto"/>
              </w:rPr>
              <w:t>Your vote is important!</w:t>
            </w:r>
          </w:p>
        </w:tc>
        <w:tc>
          <w:tcPr>
            <w:tcW w:w="5080" w:type="dxa"/>
            <w:vAlign w:val="bottom"/>
          </w:tcPr>
          <w:p>
            <w:pPr>
              <w:jc w:val="right"/>
              <w:ind w:right="641"/>
              <w:spacing w:after="0"/>
              <w:rPr>
                <w:sz w:val="20"/>
                <w:szCs w:val="20"/>
                <w:color w:val="auto"/>
              </w:rPr>
            </w:pPr>
            <w:r>
              <w:rPr>
                <w:rFonts w:ascii="Arial" w:cs="Arial" w:eastAsia="Arial" w:hAnsi="Arial"/>
                <w:sz w:val="20"/>
                <w:szCs w:val="20"/>
                <w:b w:val="1"/>
                <w:bCs w:val="1"/>
                <w:color w:val="auto"/>
              </w:rPr>
              <w:t>Your vote is important!</w:t>
            </w: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3560" w:type="dxa"/>
            <w:vAlign w:val="bottom"/>
            <w:gridSpan w:val="2"/>
          </w:tcPr>
          <w:p>
            <w:pPr>
              <w:spacing w:after="0"/>
              <w:rPr>
                <w:sz w:val="20"/>
                <w:szCs w:val="20"/>
                <w:color w:val="auto"/>
              </w:rPr>
            </w:pPr>
            <w:r>
              <w:rPr>
                <w:rFonts w:ascii="Arial" w:cs="Arial" w:eastAsia="Arial" w:hAnsi="Arial"/>
                <w:sz w:val="12"/>
                <w:szCs w:val="12"/>
                <w:color w:val="auto"/>
              </w:rPr>
              <w:t xml:space="preserve">Call </w:t>
            </w:r>
            <w:r>
              <w:rPr>
                <w:rFonts w:ascii="Arial" w:cs="Arial" w:eastAsia="Arial" w:hAnsi="Arial"/>
                <w:sz w:val="12"/>
                <w:szCs w:val="12"/>
                <w:b w:val="1"/>
                <w:bCs w:val="1"/>
                <w:color w:val="auto"/>
              </w:rPr>
              <w:t>1-877-PRX-VOTE</w:t>
            </w:r>
            <w:r>
              <w:rPr>
                <w:rFonts w:ascii="Arial" w:cs="Arial" w:eastAsia="Arial" w:hAnsi="Arial"/>
                <w:sz w:val="12"/>
                <w:szCs w:val="12"/>
                <w:color w:val="auto"/>
              </w:rPr>
              <w:t xml:space="preserve"> anytime!</w:t>
            </w:r>
          </w:p>
        </w:tc>
        <w:tc>
          <w:tcPr>
            <w:tcW w:w="5080" w:type="dxa"/>
            <w:vAlign w:val="bottom"/>
          </w:tcPr>
          <w:p>
            <w:pPr>
              <w:jc w:val="right"/>
              <w:ind w:right="181"/>
              <w:spacing w:after="0"/>
              <w:rPr>
                <w:sz w:val="20"/>
                <w:szCs w:val="20"/>
                <w:color w:val="auto"/>
              </w:rPr>
            </w:pPr>
            <w:r>
              <w:rPr>
                <w:rFonts w:ascii="Arial" w:cs="Arial" w:eastAsia="Arial" w:hAnsi="Arial"/>
                <w:sz w:val="12"/>
                <w:szCs w:val="12"/>
                <w:color w:val="auto"/>
              </w:rPr>
              <w:t xml:space="preserve">Go to </w:t>
            </w:r>
            <w:r>
              <w:rPr>
                <w:rFonts w:ascii="Arial" w:cs="Arial" w:eastAsia="Arial" w:hAnsi="Arial"/>
                <w:sz w:val="12"/>
                <w:szCs w:val="12"/>
                <w:b w:val="1"/>
                <w:bCs w:val="1"/>
                <w:color w:val="auto"/>
              </w:rPr>
              <w:t>http://www.eproxyvote.com/abt</w:t>
            </w:r>
            <w:r>
              <w:rPr>
                <w:rFonts w:ascii="Arial" w:cs="Arial" w:eastAsia="Arial" w:hAnsi="Arial"/>
                <w:sz w:val="12"/>
                <w:szCs w:val="12"/>
                <w:color w:val="auto"/>
              </w:rPr>
              <w:t xml:space="preserve"> anytime!</w:t>
            </w: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2"/>
        </w:trPr>
        <w:tc>
          <w:tcPr>
            <w:tcW w:w="340" w:type="dxa"/>
            <w:vAlign w:val="bottom"/>
          </w:tcPr>
          <w:p>
            <w:pPr>
              <w:spacing w:after="0"/>
              <w:rPr>
                <w:sz w:val="24"/>
                <w:szCs w:val="24"/>
                <w:color w:val="auto"/>
              </w:rPr>
            </w:pPr>
          </w:p>
        </w:tc>
        <w:tc>
          <w:tcPr>
            <w:tcW w:w="9120" w:type="dxa"/>
            <w:vAlign w:val="bottom"/>
            <w:gridSpan w:val="3"/>
          </w:tcPr>
          <w:p>
            <w:pPr>
              <w:jc w:val="center"/>
              <w:ind w:left="1550"/>
              <w:spacing w:after="0"/>
              <w:rPr>
                <w:sz w:val="20"/>
                <w:szCs w:val="20"/>
                <w:color w:val="auto"/>
              </w:rPr>
            </w:pPr>
            <w:r>
              <w:rPr>
                <w:rFonts w:ascii="Arial" w:cs="Arial" w:eastAsia="Arial" w:hAnsi="Arial"/>
                <w:sz w:val="22"/>
                <w:szCs w:val="22"/>
                <w:b w:val="1"/>
                <w:bCs w:val="1"/>
                <w:color w:val="auto"/>
                <w:w w:val="92"/>
              </w:rPr>
              <w:t>Do not return your Proxy Card if you are voting by Telephone or Internet</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40" w:type="dxa"/>
            <w:vAlign w:val="bottom"/>
            <w:vMerge w:val="restart"/>
          </w:tcPr>
          <w:p>
            <w:pPr>
              <w:spacing w:after="0"/>
              <w:rPr>
                <w:sz w:val="20"/>
                <w:szCs w:val="20"/>
                <w:color w:val="auto"/>
              </w:rPr>
            </w:pPr>
            <w:r>
              <w:rPr>
                <w:rFonts w:ascii="Arial" w:cs="Arial" w:eastAsia="Arial" w:hAnsi="Arial"/>
                <w:sz w:val="30"/>
                <w:szCs w:val="30"/>
                <w:b w:val="1"/>
                <w:bCs w:val="1"/>
                <w:color w:val="auto"/>
                <w:w w:val="95"/>
              </w:rPr>
              <w:t>/x/</w:t>
            </w:r>
          </w:p>
        </w:tc>
        <w:tc>
          <w:tcPr>
            <w:tcW w:w="3220" w:type="dxa"/>
            <w:vAlign w:val="bottom"/>
          </w:tcPr>
          <w:p>
            <w:pPr>
              <w:spacing w:after="0"/>
              <w:rPr>
                <w:sz w:val="24"/>
                <w:szCs w:val="24"/>
                <w:color w:val="auto"/>
              </w:rPr>
            </w:pPr>
          </w:p>
        </w:tc>
        <w:tc>
          <w:tcPr>
            <w:tcW w:w="5080" w:type="dxa"/>
            <w:vAlign w:val="bottom"/>
          </w:tcPr>
          <w:p>
            <w:pPr>
              <w:jc w:val="center"/>
              <w:ind w:right="721"/>
              <w:spacing w:after="0"/>
              <w:rPr>
                <w:sz w:val="20"/>
                <w:szCs w:val="20"/>
                <w:color w:val="auto"/>
              </w:rPr>
            </w:pPr>
            <w:r>
              <w:rPr>
                <w:rFonts w:ascii="Arial" w:cs="Arial" w:eastAsia="Arial" w:hAnsi="Arial"/>
                <w:sz w:val="12"/>
                <w:szCs w:val="12"/>
                <w:color w:val="auto"/>
                <w:w w:val="99"/>
              </w:rPr>
              <w:t>DETACH HERE</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40" w:type="dxa"/>
            <w:vAlign w:val="bottom"/>
            <w:vMerge w:val="continue"/>
          </w:tcPr>
          <w:p>
            <w:pPr>
              <w:spacing w:after="0"/>
              <w:rPr>
                <w:sz w:val="16"/>
                <w:szCs w:val="16"/>
                <w:color w:val="auto"/>
              </w:rPr>
            </w:pPr>
          </w:p>
        </w:tc>
        <w:tc>
          <w:tcPr>
            <w:tcW w:w="3220" w:type="dxa"/>
            <w:vAlign w:val="bottom"/>
          </w:tcPr>
          <w:p>
            <w:pPr>
              <w:ind w:left="360"/>
              <w:spacing w:after="0"/>
              <w:rPr>
                <w:sz w:val="20"/>
                <w:szCs w:val="20"/>
                <w:color w:val="auto"/>
              </w:rPr>
            </w:pPr>
            <w:r>
              <w:rPr>
                <w:rFonts w:ascii="Arial" w:cs="Arial" w:eastAsia="Arial" w:hAnsi="Arial"/>
                <w:sz w:val="12"/>
                <w:szCs w:val="12"/>
                <w:b w:val="1"/>
                <w:bCs w:val="1"/>
                <w:color w:val="auto"/>
              </w:rPr>
              <w:t>votes as in</w:t>
            </w:r>
          </w:p>
        </w:tc>
        <w:tc>
          <w:tcPr>
            <w:tcW w:w="5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3"/>
                <w:szCs w:val="13"/>
                <w:color w:val="auto"/>
              </w:rPr>
            </w:pPr>
          </w:p>
        </w:tc>
        <w:tc>
          <w:tcPr>
            <w:tcW w:w="3220" w:type="dxa"/>
            <w:vAlign w:val="bottom"/>
          </w:tcPr>
          <w:p>
            <w:pPr>
              <w:ind w:left="360"/>
              <w:spacing w:after="0"/>
              <w:rPr>
                <w:sz w:val="20"/>
                <w:szCs w:val="20"/>
                <w:color w:val="auto"/>
              </w:rPr>
            </w:pPr>
            <w:r>
              <w:rPr>
                <w:rFonts w:ascii="Arial" w:cs="Arial" w:eastAsia="Arial" w:hAnsi="Arial"/>
                <w:sz w:val="12"/>
                <w:szCs w:val="12"/>
                <w:b w:val="1"/>
                <w:bCs w:val="1"/>
                <w:color w:val="auto"/>
              </w:rPr>
              <w:t>Please mark</w:t>
            </w:r>
          </w:p>
        </w:tc>
        <w:tc>
          <w:tcPr>
            <w:tcW w:w="5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340" w:type="dxa"/>
            <w:vAlign w:val="bottom"/>
          </w:tcPr>
          <w:p>
            <w:pPr>
              <w:spacing w:after="0"/>
              <w:rPr>
                <w:sz w:val="22"/>
                <w:szCs w:val="22"/>
                <w:color w:val="auto"/>
              </w:rPr>
            </w:pPr>
          </w:p>
        </w:tc>
        <w:tc>
          <w:tcPr>
            <w:tcW w:w="3220" w:type="dxa"/>
            <w:vAlign w:val="bottom"/>
          </w:tcPr>
          <w:p>
            <w:pPr>
              <w:ind w:left="360"/>
              <w:spacing w:after="0"/>
              <w:rPr>
                <w:sz w:val="20"/>
                <w:szCs w:val="20"/>
                <w:color w:val="auto"/>
              </w:rPr>
            </w:pPr>
            <w:r>
              <w:rPr>
                <w:rFonts w:ascii="Arial" w:cs="Arial" w:eastAsia="Arial" w:hAnsi="Arial"/>
                <w:sz w:val="12"/>
                <w:szCs w:val="12"/>
                <w:b w:val="1"/>
                <w:bCs w:val="1"/>
                <w:color w:val="auto"/>
              </w:rPr>
              <w:t>this example.</w:t>
            </w:r>
          </w:p>
        </w:tc>
        <w:tc>
          <w:tcPr>
            <w:tcW w:w="50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340" w:type="dxa"/>
            <w:vAlign w:val="bottom"/>
            <w:tcBorders>
              <w:bottom w:val="single" w:sz="8" w:color="808080"/>
            </w:tcBorders>
          </w:tcPr>
          <w:p>
            <w:pPr>
              <w:spacing w:after="0"/>
              <w:rPr>
                <w:sz w:val="8"/>
                <w:szCs w:val="8"/>
                <w:color w:val="auto"/>
              </w:rPr>
            </w:pPr>
          </w:p>
        </w:tc>
        <w:tc>
          <w:tcPr>
            <w:tcW w:w="3220" w:type="dxa"/>
            <w:vAlign w:val="bottom"/>
            <w:tcBorders>
              <w:bottom w:val="single" w:sz="8" w:color="808080"/>
            </w:tcBorders>
          </w:tcPr>
          <w:p>
            <w:pPr>
              <w:spacing w:after="0"/>
              <w:rPr>
                <w:sz w:val="8"/>
                <w:szCs w:val="8"/>
                <w:color w:val="auto"/>
              </w:rPr>
            </w:pPr>
          </w:p>
        </w:tc>
        <w:tc>
          <w:tcPr>
            <w:tcW w:w="50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42"/>
        </w:trPr>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80" w:type="dxa"/>
            <w:vAlign w:val="bottom"/>
          </w:tcPr>
          <w:p>
            <w:pPr>
              <w:jc w:val="center"/>
              <w:ind w:right="701"/>
              <w:spacing w:after="0"/>
              <w:rPr>
                <w:sz w:val="20"/>
                <w:szCs w:val="20"/>
                <w:color w:val="auto"/>
              </w:rPr>
            </w:pPr>
            <w:r>
              <w:rPr>
                <w:rFonts w:ascii="Arial" w:cs="Arial" w:eastAsia="Arial" w:hAnsi="Arial"/>
                <w:sz w:val="12"/>
                <w:szCs w:val="12"/>
                <w:b w:val="1"/>
                <w:bCs w:val="1"/>
                <w:color w:val="auto"/>
                <w:w w:val="93"/>
              </w:rPr>
              <w:t>The Board of Directors recommends that you vote FOR Items 1 and 2.</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60" w:type="dxa"/>
            <w:vAlign w:val="bottom"/>
            <w:tcBorders>
              <w:bottom w:val="single" w:sz="8" w:color="808080"/>
            </w:tcBorders>
            <w:gridSpan w:val="2"/>
          </w:tcPr>
          <w:p>
            <w:pPr>
              <w:spacing w:after="0"/>
              <w:rPr>
                <w:sz w:val="17"/>
                <w:szCs w:val="17"/>
                <w:color w:val="auto"/>
              </w:rPr>
            </w:pPr>
          </w:p>
        </w:tc>
        <w:tc>
          <w:tcPr>
            <w:tcW w:w="508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104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567"/>
        </w:trPr>
        <w:tc>
          <w:tcPr>
            <w:tcW w:w="3560" w:type="dxa"/>
            <w:vAlign w:val="bottom"/>
            <w:gridSpan w:val="2"/>
          </w:tcPr>
          <w:p>
            <w:pPr>
              <w:spacing w:after="0"/>
              <w:rPr>
                <w:sz w:val="20"/>
                <w:szCs w:val="20"/>
                <w:color w:val="auto"/>
              </w:rPr>
            </w:pPr>
            <w:r>
              <w:rPr>
                <w:rFonts w:ascii="Arial" w:cs="Arial" w:eastAsia="Arial" w:hAnsi="Arial"/>
                <w:sz w:val="12"/>
                <w:szCs w:val="12"/>
                <w:color w:val="auto"/>
                <w:w w:val="95"/>
              </w:rPr>
              <w:t>1.Election of 14 Directors.</w:t>
            </w:r>
          </w:p>
        </w:tc>
        <w:tc>
          <w:tcPr>
            <w:tcW w:w="508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Arial" w:cs="Arial" w:eastAsia="Arial" w:hAnsi="Arial"/>
                <w:sz w:val="12"/>
                <w:szCs w:val="12"/>
                <w:color w:val="auto"/>
              </w:rPr>
              <w:t>FOR</w:t>
            </w:r>
          </w:p>
        </w:tc>
        <w:tc>
          <w:tcPr>
            <w:tcW w:w="1040" w:type="dxa"/>
            <w:vAlign w:val="bottom"/>
          </w:tcPr>
          <w:p>
            <w:pPr>
              <w:jc w:val="center"/>
              <w:spacing w:after="0"/>
              <w:rPr>
                <w:sz w:val="20"/>
                <w:szCs w:val="20"/>
                <w:color w:val="auto"/>
              </w:rPr>
            </w:pPr>
            <w:r>
              <w:rPr>
                <w:rFonts w:ascii="Arial" w:cs="Arial" w:eastAsia="Arial" w:hAnsi="Arial"/>
                <w:sz w:val="12"/>
                <w:szCs w:val="12"/>
                <w:color w:val="auto"/>
              </w:rPr>
              <w:t>AGAINST</w:t>
            </w:r>
          </w:p>
        </w:tc>
        <w:tc>
          <w:tcPr>
            <w:tcW w:w="920" w:type="dxa"/>
            <w:vAlign w:val="bottom"/>
          </w:tcPr>
          <w:p>
            <w:pPr>
              <w:jc w:val="center"/>
              <w:ind w:left="35"/>
              <w:spacing w:after="0"/>
              <w:rPr>
                <w:sz w:val="20"/>
                <w:szCs w:val="20"/>
                <w:color w:val="auto"/>
              </w:rPr>
            </w:pPr>
            <w:r>
              <w:rPr>
                <w:rFonts w:ascii="Arial" w:cs="Arial" w:eastAsia="Arial" w:hAnsi="Arial"/>
                <w:sz w:val="12"/>
                <w:szCs w:val="12"/>
                <w:color w:val="auto"/>
              </w:rPr>
              <w:t>ABSTAIN</w:t>
            </w: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3220" w:type="dxa"/>
            <w:vAlign w:val="bottom"/>
          </w:tcPr>
          <w:p>
            <w:pPr>
              <w:ind w:left="20"/>
              <w:spacing w:after="0"/>
              <w:rPr>
                <w:sz w:val="20"/>
                <w:szCs w:val="20"/>
                <w:color w:val="auto"/>
              </w:rPr>
            </w:pPr>
            <w:r>
              <w:rPr>
                <w:rFonts w:ascii="Arial" w:cs="Arial" w:eastAsia="Arial" w:hAnsi="Arial"/>
                <w:sz w:val="12"/>
                <w:szCs w:val="12"/>
                <w:b w:val="1"/>
                <w:bCs w:val="1"/>
                <w:color w:val="auto"/>
              </w:rPr>
              <w:t xml:space="preserve">Nominees: </w:t>
            </w:r>
            <w:r>
              <w:rPr>
                <w:rFonts w:ascii="Arial" w:cs="Arial" w:eastAsia="Arial" w:hAnsi="Arial"/>
                <w:sz w:val="12"/>
                <w:szCs w:val="12"/>
                <w:color w:val="auto"/>
              </w:rPr>
              <w:t>(01) R.S. Austin, (02) H.L. Fuller,</w:t>
            </w:r>
          </w:p>
        </w:tc>
        <w:tc>
          <w:tcPr>
            <w:tcW w:w="5080" w:type="dxa"/>
            <w:vAlign w:val="bottom"/>
          </w:tcPr>
          <w:p>
            <w:pPr>
              <w:jc w:val="right"/>
              <w:ind w:right="181"/>
              <w:spacing w:after="0"/>
              <w:rPr>
                <w:sz w:val="20"/>
                <w:szCs w:val="20"/>
                <w:color w:val="auto"/>
              </w:rPr>
            </w:pPr>
            <w:r>
              <w:rPr>
                <w:rFonts w:ascii="Arial" w:cs="Arial" w:eastAsia="Arial" w:hAnsi="Arial"/>
                <w:sz w:val="12"/>
                <w:szCs w:val="12"/>
                <w:color w:val="auto"/>
                <w:w w:val="96"/>
              </w:rPr>
              <w:t>2.Ratification of Arthur Andersen LLP as</w:t>
            </w:r>
          </w:p>
        </w:tc>
        <w:tc>
          <w:tcPr>
            <w:tcW w:w="820" w:type="dxa"/>
            <w:vAlign w:val="bottom"/>
            <w:vMerge w:val="restart"/>
          </w:tcPr>
          <w:p>
            <w:pPr>
              <w:ind w:left="220"/>
              <w:spacing w:after="0"/>
              <w:rPr>
                <w:sz w:val="20"/>
                <w:szCs w:val="20"/>
                <w:color w:val="auto"/>
              </w:rPr>
            </w:pPr>
            <w:r>
              <w:rPr>
                <w:rFonts w:ascii="Arial" w:cs="Arial" w:eastAsia="Arial" w:hAnsi="Arial"/>
                <w:sz w:val="30"/>
                <w:szCs w:val="30"/>
                <w:color w:val="auto"/>
              </w:rPr>
              <w:t>/ /</w:t>
            </w:r>
          </w:p>
        </w:tc>
        <w:tc>
          <w:tcPr>
            <w:tcW w:w="1040" w:type="dxa"/>
            <w:vAlign w:val="bottom"/>
            <w:vMerge w:val="restart"/>
          </w:tcPr>
          <w:p>
            <w:pPr>
              <w:jc w:val="right"/>
              <w:ind w:right="315"/>
              <w:spacing w:after="0"/>
              <w:rPr>
                <w:sz w:val="20"/>
                <w:szCs w:val="20"/>
                <w:color w:val="auto"/>
              </w:rPr>
            </w:pPr>
            <w:r>
              <w:rPr>
                <w:rFonts w:ascii="Arial" w:cs="Arial" w:eastAsia="Arial" w:hAnsi="Arial"/>
                <w:sz w:val="30"/>
                <w:szCs w:val="30"/>
                <w:color w:val="auto"/>
              </w:rPr>
              <w:t>/ /</w:t>
            </w:r>
          </w:p>
        </w:tc>
        <w:tc>
          <w:tcPr>
            <w:tcW w:w="920" w:type="dxa"/>
            <w:vAlign w:val="bottom"/>
            <w:vMerge w:val="restart"/>
          </w:tcPr>
          <w:p>
            <w:pPr>
              <w:jc w:val="right"/>
              <w:ind w:right="155"/>
              <w:spacing w:after="0"/>
              <w:rPr>
                <w:sz w:val="20"/>
                <w:szCs w:val="20"/>
                <w:color w:val="auto"/>
              </w:rPr>
            </w:pPr>
            <w:r>
              <w:rPr>
                <w:rFonts w:ascii="Arial" w:cs="Arial" w:eastAsia="Arial" w:hAnsi="Arial"/>
                <w:sz w:val="30"/>
                <w:szCs w:val="30"/>
                <w:color w:val="auto"/>
              </w:rPr>
              <w:t>/ /</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Arial" w:cs="Arial" w:eastAsia="Arial" w:hAnsi="Arial"/>
                <w:sz w:val="12"/>
                <w:szCs w:val="12"/>
                <w:color w:val="auto"/>
              </w:rPr>
              <w:t>(03) R.A. Gonzalez, (04) J.M. Greenberg, (05) D.A. Jones,</w:t>
            </w:r>
          </w:p>
        </w:tc>
        <w:tc>
          <w:tcPr>
            <w:tcW w:w="5080" w:type="dxa"/>
            <w:vAlign w:val="bottom"/>
          </w:tcPr>
          <w:p>
            <w:pPr>
              <w:jc w:val="right"/>
              <w:ind w:right="1721"/>
              <w:spacing w:after="0"/>
              <w:rPr>
                <w:sz w:val="20"/>
                <w:szCs w:val="20"/>
                <w:color w:val="auto"/>
              </w:rPr>
            </w:pPr>
            <w:r>
              <w:rPr>
                <w:rFonts w:ascii="Arial" w:cs="Arial" w:eastAsia="Arial" w:hAnsi="Arial"/>
                <w:sz w:val="12"/>
                <w:szCs w:val="12"/>
                <w:color w:val="auto"/>
              </w:rPr>
              <w:t>auditors.</w:t>
            </w:r>
          </w:p>
        </w:tc>
        <w:tc>
          <w:tcPr>
            <w:tcW w:w="82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-957580</wp:posOffset>
            </wp:positionV>
            <wp:extent cx="1270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-957580</wp:posOffset>
            </wp:positionV>
            <wp:extent cx="1270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-602615</wp:posOffset>
            </wp:positionV>
            <wp:extent cx="1270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-602615</wp:posOffset>
            </wp:positionV>
            <wp:extent cx="1270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ind w:left="361"/>
        <w:spacing w:after="0" w:line="237" w:lineRule="auto"/>
        <w:rPr>
          <w:sz w:val="20"/>
          <w:szCs w:val="20"/>
          <w:color w:val="auto"/>
        </w:rPr>
      </w:pPr>
      <w:r>
        <w:rPr>
          <w:rFonts w:ascii="Arial" w:cs="Arial" w:eastAsia="Arial" w:hAnsi="Arial"/>
          <w:sz w:val="12"/>
          <w:szCs w:val="12"/>
          <w:color w:val="auto"/>
        </w:rPr>
        <w:t>(06) J.M. Leiden, (07) D.A.L. Owen, (08) B. Powell Jr.,</w:t>
      </w:r>
    </w:p>
    <w:p>
      <w:pPr>
        <w:ind w:left="601" w:hanging="241"/>
        <w:spacing w:after="0" w:line="237" w:lineRule="auto"/>
        <w:tabs>
          <w:tab w:leader="none" w:pos="601" w:val="left"/>
        </w:tabs>
        <w:numPr>
          <w:ilvl w:val="0"/>
          <w:numId w:val="15"/>
        </w:numPr>
        <w:rPr>
          <w:rFonts w:ascii="Arial" w:cs="Arial" w:eastAsia="Arial" w:hAnsi="Arial"/>
          <w:sz w:val="12"/>
          <w:szCs w:val="12"/>
          <w:color w:val="auto"/>
        </w:rPr>
      </w:pPr>
      <w:r>
        <w:rPr>
          <w:rFonts w:ascii="Arial" w:cs="Arial" w:eastAsia="Arial" w:hAnsi="Arial"/>
          <w:sz w:val="12"/>
          <w:szCs w:val="12"/>
          <w:color w:val="auto"/>
        </w:rPr>
        <w:t>A.B. Rand, (10) W.A. Reynolds, (11) R.S. Roberts, (12) W.D. Smithburg, (13) J.R. Walter, and</w:t>
      </w:r>
    </w:p>
    <w:p>
      <w:pPr>
        <w:ind w:left="601" w:hanging="241"/>
        <w:spacing w:after="0"/>
        <w:tabs>
          <w:tab w:leader="none" w:pos="601" w:val="left"/>
        </w:tabs>
        <w:numPr>
          <w:ilvl w:val="0"/>
          <w:numId w:val="16"/>
        </w:numPr>
        <w:rPr>
          <w:rFonts w:ascii="Arial" w:cs="Arial" w:eastAsia="Arial" w:hAnsi="Arial"/>
          <w:sz w:val="12"/>
          <w:szCs w:val="12"/>
          <w:color w:val="auto"/>
        </w:rPr>
      </w:pPr>
      <w:r>
        <w:rPr>
          <w:rFonts w:ascii="Arial" w:cs="Arial" w:eastAsia="Arial" w:hAnsi="Arial"/>
          <w:sz w:val="12"/>
          <w:szCs w:val="12"/>
          <w:color w:val="auto"/>
        </w:rPr>
        <w:t>M.D. White.</w:t>
      </w:r>
    </w:p>
    <w:p>
      <w:pPr>
        <w:sectPr>
          <w:pgSz w:w="11900" w:h="16838" w:orient="portrait"/>
          <w:cols w:equalWidth="0" w:num="1">
            <w:col w:w="11421"/>
          </w:cols>
          <w:pgMar w:left="239" w:top="1409" w:right="239" w:bottom="0" w:gutter="0" w:footer="0" w:header="0"/>
          <w:type w:val="continuous"/>
        </w:sectPr>
      </w:pPr>
    </w:p>
    <w:p>
      <w:pPr>
        <w:spacing w:after="0" w:line="84" w:lineRule="exact"/>
        <w:rPr>
          <w:sz w:val="20"/>
          <w:szCs w:val="20"/>
          <w:color w:val="auto"/>
        </w:rPr>
      </w:pPr>
    </w:p>
    <w:p>
      <w:pPr>
        <w:jc w:val="right"/>
        <w:ind w:right="432"/>
        <w:spacing w:after="0"/>
        <w:rPr>
          <w:sz w:val="20"/>
          <w:szCs w:val="20"/>
          <w:color w:val="auto"/>
        </w:rPr>
      </w:pPr>
      <w:r>
        <w:rPr>
          <w:rFonts w:ascii="Arial" w:cs="Arial" w:eastAsia="Arial" w:hAnsi="Arial"/>
          <w:sz w:val="12"/>
          <w:szCs w:val="12"/>
          <w:color w:val="auto"/>
        </w:rPr>
        <w:t>WITHHELD</w:t>
      </w:r>
    </w:p>
    <w:p>
      <w:pPr>
        <w:ind w:left="1621"/>
        <w:spacing w:after="0"/>
        <w:rPr>
          <w:sz w:val="20"/>
          <w:szCs w:val="20"/>
          <w:color w:val="auto"/>
        </w:rPr>
      </w:pPr>
      <w:r>
        <w:rPr>
          <w:rFonts w:ascii="Arial" w:cs="Arial" w:eastAsia="Arial" w:hAnsi="Arial"/>
          <w:sz w:val="12"/>
          <w:szCs w:val="12"/>
          <w:color w:val="auto"/>
        </w:rPr>
        <w:t>FOR</w:t>
      </w:r>
    </w:p>
    <w:p>
      <w:pPr>
        <w:spacing w:after="0" w:line="190" w:lineRule="exact"/>
        <w:rPr>
          <w:sz w:val="20"/>
          <w:szCs w:val="20"/>
          <w:color w:val="auto"/>
        </w:rPr>
      </w:pPr>
    </w:p>
    <w:tbl>
      <w:tblPr>
        <w:tblLayout w:type="fixed"/>
        <w:tblInd w:w="1621" w:type="dxa"/>
        <w:tblCellMar>
          <w:top w:w="0" w:type="dxa"/>
          <w:left w:w="0" w:type="dxa"/>
          <w:bottom w:w="0" w:type="dxa"/>
          <w:right w:w="0" w:type="dxa"/>
        </w:tblCellMar>
      </w:tblPr>
      <w:tr>
        <w:trPr>
          <w:trHeight w:val="379"/>
        </w:trPr>
        <w:tc>
          <w:tcPr>
            <w:tcW w:w="1560" w:type="dxa"/>
            <w:vAlign w:val="bottom"/>
          </w:tcPr>
          <w:p>
            <w:pPr>
              <w:jc w:val="right"/>
              <w:ind w:right="1171"/>
              <w:spacing w:after="0"/>
              <w:rPr>
                <w:sz w:val="20"/>
                <w:szCs w:val="20"/>
                <w:color w:val="auto"/>
              </w:rPr>
            </w:pPr>
            <w:r>
              <w:rPr>
                <w:rFonts w:ascii="Arial" w:cs="Arial" w:eastAsia="Arial" w:hAnsi="Arial"/>
                <w:sz w:val="30"/>
                <w:szCs w:val="30"/>
                <w:color w:val="auto"/>
                <w:w w:val="87"/>
              </w:rPr>
              <w:t>/ /</w:t>
            </w:r>
          </w:p>
        </w:tc>
        <w:tc>
          <w:tcPr>
            <w:tcW w:w="1540" w:type="dxa"/>
            <w:vAlign w:val="bottom"/>
            <w:vMerge w:val="restart"/>
          </w:tcPr>
          <w:p>
            <w:pPr>
              <w:jc w:val="right"/>
              <w:spacing w:after="0"/>
              <w:rPr>
                <w:sz w:val="20"/>
                <w:szCs w:val="20"/>
                <w:color w:val="auto"/>
              </w:rPr>
            </w:pPr>
            <w:r>
              <w:rPr>
                <w:rFonts w:ascii="Arial" w:cs="Arial" w:eastAsia="Arial" w:hAnsi="Arial"/>
                <w:sz w:val="30"/>
                <w:szCs w:val="30"/>
                <w:color w:val="auto"/>
              </w:rPr>
              <w:t>/ /</w:t>
            </w:r>
          </w:p>
        </w:tc>
        <w:tc>
          <w:tcPr>
            <w:tcW w:w="0" w:type="dxa"/>
            <w:vAlign w:val="bottom"/>
          </w:tcPr>
          <w:p>
            <w:pPr>
              <w:spacing w:after="0"/>
              <w:rPr>
                <w:sz w:val="1"/>
                <w:szCs w:val="1"/>
                <w:color w:val="auto"/>
              </w:rPr>
            </w:pPr>
          </w:p>
        </w:tc>
      </w:tr>
      <w:tr>
        <w:trPr>
          <w:trHeight w:val="112"/>
        </w:trPr>
        <w:tc>
          <w:tcPr>
            <w:tcW w:w="156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1"/>
        <w:spacing w:after="0"/>
        <w:rPr>
          <w:sz w:val="20"/>
          <w:szCs w:val="20"/>
          <w:color w:val="auto"/>
        </w:rPr>
      </w:pPr>
      <w:r>
        <w:rPr>
          <w:rFonts w:ascii="Arial" w:cs="Arial" w:eastAsia="Arial" w:hAnsi="Arial"/>
          <w:sz w:val="30"/>
          <w:szCs w:val="3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-17780</wp:posOffset>
            </wp:positionV>
            <wp:extent cx="850900" cy="158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0900" cy="15875"/>
                    </a:xfrm>
                    <a:prstGeom prst="rect">
                      <a:avLst/>
                    </a:prstGeom>
                    <a:noFill/>
                  </pic:spPr>
                </pic:pic>
              </a:graphicData>
            </a:graphic>
          </wp:anchor>
        </w:drawing>
      </w:r>
    </w:p>
    <w:p>
      <w:pPr>
        <w:spacing w:after="0" w:line="2" w:lineRule="exact"/>
        <w:rPr>
          <w:sz w:val="20"/>
          <w:szCs w:val="20"/>
          <w:color w:val="auto"/>
        </w:rPr>
      </w:pPr>
    </w:p>
    <w:p>
      <w:pPr>
        <w:ind w:left="361"/>
        <w:spacing w:after="0"/>
        <w:rPr>
          <w:sz w:val="20"/>
          <w:szCs w:val="20"/>
          <w:color w:val="auto"/>
        </w:rPr>
      </w:pPr>
      <w:r>
        <w:rPr>
          <w:rFonts w:ascii="Arial" w:cs="Arial" w:eastAsia="Arial" w:hAnsi="Arial"/>
          <w:sz w:val="12"/>
          <w:szCs w:val="12"/>
          <w:color w:val="auto"/>
        </w:rPr>
        <w:t>FOR, except vote withheld from the above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107"/>
        <w:spacing w:after="0"/>
        <w:rPr>
          <w:sz w:val="20"/>
          <w:szCs w:val="20"/>
          <w:color w:val="auto"/>
        </w:rPr>
      </w:pPr>
      <w:r>
        <w:rPr>
          <w:rFonts w:ascii="Arial" w:cs="Arial" w:eastAsia="Arial" w:hAnsi="Arial"/>
          <w:sz w:val="12"/>
          <w:szCs w:val="12"/>
          <w:b w:val="1"/>
          <w:bCs w:val="1"/>
          <w:color w:val="auto"/>
        </w:rPr>
        <w:t>The Board of Directors recommends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-160020</wp:posOffset>
            </wp:positionV>
            <wp:extent cx="3180715" cy="20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180715" cy="20320"/>
                    </a:xfrm>
                    <a:prstGeom prst="rect">
                      <a:avLst/>
                    </a:prstGeom>
                    <a:noFill/>
                  </pic:spPr>
                </pic:pic>
              </a:graphicData>
            </a:graphic>
          </wp:anchor>
        </w:drawing>
      </w:r>
    </w:p>
    <w:p>
      <w:pPr>
        <w:jc w:val="center"/>
        <w:ind w:left="-107"/>
        <w:spacing w:after="0"/>
        <w:rPr>
          <w:sz w:val="20"/>
          <w:szCs w:val="20"/>
          <w:color w:val="auto"/>
        </w:rPr>
      </w:pPr>
      <w:r>
        <w:rPr>
          <w:rFonts w:ascii="Arial" w:cs="Arial" w:eastAsia="Arial" w:hAnsi="Arial"/>
          <w:sz w:val="12"/>
          <w:szCs w:val="12"/>
          <w:b w:val="1"/>
          <w:bCs w:val="1"/>
          <w:color w:val="auto"/>
        </w:rPr>
        <w:t>you vote AGAINST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59055</wp:posOffset>
            </wp:positionV>
            <wp:extent cx="3180715" cy="20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18071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2768"/>
        <w:spacing w:after="0"/>
        <w:tabs>
          <w:tab w:leader="none" w:pos="3567" w:val="left"/>
          <w:tab w:leader="none" w:pos="4647" w:val="left"/>
        </w:tabs>
        <w:rPr>
          <w:sz w:val="20"/>
          <w:szCs w:val="20"/>
          <w:color w:val="auto"/>
        </w:rPr>
      </w:pPr>
      <w:r>
        <w:rPr>
          <w:rFonts w:ascii="Arial" w:cs="Arial" w:eastAsia="Arial" w:hAnsi="Arial"/>
          <w:sz w:val="12"/>
          <w:szCs w:val="12"/>
          <w:color w:val="auto"/>
        </w:rPr>
        <w:t>FOR</w:t>
      </w:r>
      <w:r>
        <w:rPr>
          <w:sz w:val="20"/>
          <w:szCs w:val="20"/>
          <w:color w:val="auto"/>
        </w:rPr>
        <w:tab/>
      </w:r>
      <w:r>
        <w:rPr>
          <w:rFonts w:ascii="Arial" w:cs="Arial" w:eastAsia="Arial" w:hAnsi="Arial"/>
          <w:sz w:val="12"/>
          <w:szCs w:val="12"/>
          <w:color w:val="auto"/>
        </w:rPr>
        <w:t>AGAINST</w:t>
      </w:r>
      <w:r>
        <w:rPr>
          <w:sz w:val="20"/>
          <w:szCs w:val="20"/>
          <w:color w:val="auto"/>
        </w:rPr>
        <w:tab/>
      </w:r>
      <w:r>
        <w:rPr>
          <w:rFonts w:ascii="Arial" w:cs="Arial" w:eastAsia="Arial" w:hAnsi="Arial"/>
          <w:sz w:val="12"/>
          <w:szCs w:val="12"/>
          <w:color w:val="auto"/>
        </w:rPr>
        <w:t>ABSTAIN</w:t>
      </w:r>
    </w:p>
    <w:p>
      <w:pPr>
        <w:spacing w:after="0" w:line="9" w:lineRule="exact"/>
        <w:rPr>
          <w:sz w:val="20"/>
          <w:szCs w:val="20"/>
          <w:color w:val="auto"/>
        </w:rPr>
      </w:pPr>
    </w:p>
    <w:p>
      <w:pPr>
        <w:ind w:left="328" w:hanging="328"/>
        <w:spacing w:after="0"/>
        <w:tabs>
          <w:tab w:leader="none" w:pos="3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Shareholder Proposal - HIV/AIDS-TB-</w:t>
      </w:r>
    </w:p>
    <w:p>
      <w:pPr>
        <w:sectPr>
          <w:pgSz w:w="11900" w:h="16838" w:orient="portrait"/>
          <w:cols w:equalWidth="0" w:num="2">
            <w:col w:w="5373" w:space="720"/>
            <w:col w:w="5328"/>
          </w:cols>
          <w:pgMar w:left="239" w:top="1409" w:right="239" w:bottom="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52"/>
        </w:trPr>
        <w:tc>
          <w:tcPr>
            <w:tcW w:w="13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0" w:type="dxa"/>
            <w:vAlign w:val="bottom"/>
            <w:gridSpan w:val="2"/>
            <w:vMerge w:val="restart"/>
          </w:tcPr>
          <w:p>
            <w:pPr>
              <w:ind w:left="800"/>
              <w:spacing w:after="0"/>
              <w:rPr>
                <w:sz w:val="20"/>
                <w:szCs w:val="20"/>
                <w:color w:val="auto"/>
              </w:rPr>
            </w:pPr>
            <w:r>
              <w:rPr>
                <w:rFonts w:ascii="Arial" w:cs="Arial" w:eastAsia="Arial" w:hAnsi="Arial"/>
                <w:sz w:val="12"/>
                <w:szCs w:val="12"/>
                <w:color w:val="auto"/>
              </w:rPr>
              <w:t>Malaria</w:t>
            </w:r>
          </w:p>
        </w:tc>
        <w:tc>
          <w:tcPr>
            <w:tcW w:w="720" w:type="dxa"/>
            <w:vAlign w:val="bottom"/>
          </w:tcPr>
          <w:p>
            <w:pPr>
              <w:jc w:val="right"/>
              <w:ind w:right="96"/>
              <w:spacing w:after="0" w:line="252" w:lineRule="exact"/>
              <w:rPr>
                <w:sz w:val="20"/>
                <w:szCs w:val="20"/>
                <w:color w:val="auto"/>
              </w:rPr>
            </w:pPr>
            <w:r>
              <w:rPr>
                <w:rFonts w:ascii="Arial" w:cs="Arial" w:eastAsia="Arial" w:hAnsi="Arial"/>
                <w:sz w:val="29"/>
                <w:szCs w:val="29"/>
                <w:color w:val="auto"/>
              </w:rPr>
              <w:t>/ /</w:t>
            </w:r>
          </w:p>
        </w:tc>
        <w:tc>
          <w:tcPr>
            <w:tcW w:w="900" w:type="dxa"/>
            <w:vAlign w:val="bottom"/>
          </w:tcPr>
          <w:p>
            <w:pPr>
              <w:jc w:val="right"/>
              <w:ind w:right="48"/>
              <w:spacing w:after="0" w:line="252" w:lineRule="exact"/>
              <w:rPr>
                <w:sz w:val="20"/>
                <w:szCs w:val="20"/>
                <w:color w:val="auto"/>
              </w:rPr>
            </w:pPr>
            <w:r>
              <w:rPr>
                <w:rFonts w:ascii="Arial" w:cs="Arial" w:eastAsia="Arial" w:hAnsi="Arial"/>
                <w:sz w:val="29"/>
                <w:szCs w:val="29"/>
                <w:color w:val="auto"/>
              </w:rPr>
              <w:t>/ /</w:t>
            </w:r>
          </w:p>
        </w:tc>
        <w:tc>
          <w:tcPr>
            <w:tcW w:w="1180" w:type="dxa"/>
            <w:vAlign w:val="bottom"/>
          </w:tcPr>
          <w:p>
            <w:pPr>
              <w:jc w:val="right"/>
              <w:ind w:right="114"/>
              <w:spacing w:after="0" w:line="252" w:lineRule="exact"/>
              <w:rPr>
                <w:sz w:val="20"/>
                <w:szCs w:val="20"/>
                <w:color w:val="auto"/>
              </w:rPr>
            </w:pPr>
            <w:r>
              <w:rPr>
                <w:rFonts w:ascii="Arial" w:cs="Arial" w:eastAsia="Arial" w:hAnsi="Arial"/>
                <w:sz w:val="29"/>
                <w:szCs w:val="29"/>
                <w:color w:val="auto"/>
              </w:rPr>
              <w:t>/ /</w:t>
            </w:r>
          </w:p>
        </w:tc>
        <w:tc>
          <w:tcPr>
            <w:tcW w:w="0" w:type="dxa"/>
            <w:vAlign w:val="bottom"/>
          </w:tcPr>
          <w:p>
            <w:pPr>
              <w:spacing w:after="0"/>
              <w:rPr>
                <w:sz w:val="1"/>
                <w:szCs w:val="1"/>
                <w:color w:val="auto"/>
              </w:rPr>
            </w:pPr>
          </w:p>
        </w:tc>
      </w:tr>
      <w:tr>
        <w:trPr>
          <w:trHeight w:val="36"/>
        </w:trPr>
        <w:tc>
          <w:tcPr>
            <w:tcW w:w="13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2"/>
        </w:trPr>
        <w:tc>
          <w:tcPr>
            <w:tcW w:w="1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20" w:type="dxa"/>
            <w:vAlign w:val="bottom"/>
            <w:gridSpan w:val="4"/>
            <w:vMerge w:val="restart"/>
          </w:tcPr>
          <w:p>
            <w:pPr>
              <w:ind w:left="800"/>
              <w:spacing w:after="0"/>
              <w:rPr>
                <w:sz w:val="20"/>
                <w:szCs w:val="20"/>
                <w:color w:val="auto"/>
              </w:rPr>
            </w:pPr>
            <w:r>
              <w:rPr>
                <w:rFonts w:ascii="Arial" w:cs="Arial" w:eastAsia="Arial" w:hAnsi="Arial"/>
                <w:sz w:val="12"/>
                <w:szCs w:val="12"/>
                <w:color w:val="auto"/>
              </w:rPr>
              <w:t>MARK HERE FOR ADDRESS CHANGE AND NOTE AT LEFT</w:t>
            </w:r>
          </w:p>
        </w:tc>
        <w:tc>
          <w:tcPr>
            <w:tcW w:w="1180" w:type="dxa"/>
            <w:vAlign w:val="bottom"/>
          </w:tcPr>
          <w:p>
            <w:pPr>
              <w:jc w:val="right"/>
              <w:ind w:right="114"/>
              <w:spacing w:after="0"/>
              <w:rPr>
                <w:sz w:val="20"/>
                <w:szCs w:val="20"/>
                <w:color w:val="auto"/>
              </w:rPr>
            </w:pPr>
            <w:r>
              <w:rPr>
                <w:rFonts w:ascii="Arial" w:cs="Arial" w:eastAsia="Arial" w:hAnsi="Arial"/>
                <w:sz w:val="30"/>
                <w:szCs w:val="30"/>
                <w:color w:val="auto"/>
              </w:rPr>
              <w:t>/ /</w:t>
            </w:r>
          </w:p>
        </w:tc>
        <w:tc>
          <w:tcPr>
            <w:tcW w:w="0" w:type="dxa"/>
            <w:vAlign w:val="bottom"/>
          </w:tcPr>
          <w:p>
            <w:pPr>
              <w:spacing w:after="0"/>
              <w:rPr>
                <w:sz w:val="1"/>
                <w:szCs w:val="1"/>
                <w:color w:val="auto"/>
              </w:rPr>
            </w:pPr>
          </w:p>
        </w:tc>
      </w:tr>
      <w:tr>
        <w:trPr>
          <w:trHeight w:val="36"/>
        </w:trPr>
        <w:tc>
          <w:tcPr>
            <w:tcW w:w="13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620" w:type="dxa"/>
            <w:vAlign w:val="bottom"/>
            <w:gridSpan w:val="4"/>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50"/>
        </w:trPr>
        <w:tc>
          <w:tcPr>
            <w:tcW w:w="1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0" w:type="dxa"/>
            <w:vAlign w:val="bottom"/>
            <w:gridSpan w:val="5"/>
          </w:tcPr>
          <w:p>
            <w:pPr>
              <w:ind w:left="800"/>
              <w:spacing w:after="0"/>
              <w:rPr>
                <w:sz w:val="20"/>
                <w:szCs w:val="20"/>
                <w:color w:val="auto"/>
              </w:rPr>
            </w:pPr>
            <w:r>
              <w:rPr>
                <w:rFonts w:ascii="Arial" w:cs="Arial" w:eastAsia="Arial" w:hAnsi="Arial"/>
                <w:sz w:val="12"/>
                <w:szCs w:val="12"/>
                <w:color w:val="auto"/>
                <w:w w:val="99"/>
              </w:rPr>
              <w:t>Each joint tenant should sign; executors, administrators, trustees, etc. should give full title and,</w:t>
            </w:r>
          </w:p>
        </w:tc>
        <w:tc>
          <w:tcPr>
            <w:tcW w:w="0" w:type="dxa"/>
            <w:vAlign w:val="bottom"/>
          </w:tcPr>
          <w:p>
            <w:pPr>
              <w:spacing w:after="0"/>
              <w:rPr>
                <w:sz w:val="1"/>
                <w:szCs w:val="1"/>
                <w:color w:val="auto"/>
              </w:rPr>
            </w:pPr>
          </w:p>
        </w:tc>
      </w:tr>
      <w:tr>
        <w:trPr>
          <w:trHeight w:val="133"/>
        </w:trPr>
        <w:tc>
          <w:tcPr>
            <w:tcW w:w="13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720" w:type="dxa"/>
            <w:vAlign w:val="bottom"/>
            <w:gridSpan w:val="3"/>
          </w:tcPr>
          <w:p>
            <w:pPr>
              <w:ind w:left="800"/>
              <w:spacing w:after="0" w:line="133" w:lineRule="exact"/>
              <w:rPr>
                <w:sz w:val="20"/>
                <w:szCs w:val="20"/>
                <w:color w:val="auto"/>
              </w:rPr>
            </w:pPr>
            <w:r>
              <w:rPr>
                <w:rFonts w:ascii="Arial" w:cs="Arial" w:eastAsia="Arial" w:hAnsi="Arial"/>
                <w:sz w:val="12"/>
                <w:szCs w:val="12"/>
                <w:color w:val="auto"/>
                <w:w w:val="99"/>
              </w:rPr>
              <w:t>where more than one is named, a majority should sign.</w:t>
            </w:r>
          </w:p>
        </w:tc>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0" w:type="dxa"/>
            <w:vAlign w:val="bottom"/>
            <w:gridSpan w:val="2"/>
          </w:tcPr>
          <w:p>
            <w:pPr>
              <w:ind w:left="800"/>
              <w:spacing w:after="0"/>
              <w:rPr>
                <w:sz w:val="20"/>
                <w:szCs w:val="20"/>
                <w:color w:val="auto"/>
              </w:rPr>
            </w:pPr>
            <w:r>
              <w:rPr>
                <w:rFonts w:ascii="Arial" w:cs="Arial" w:eastAsia="Arial" w:hAnsi="Arial"/>
                <w:sz w:val="12"/>
                <w:szCs w:val="12"/>
                <w:b w:val="1"/>
                <w:bCs w:val="1"/>
                <w:color w:val="auto"/>
              </w:rPr>
              <w:t>Please read other side before signing.</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6"/>
                <w:szCs w:val="16"/>
                <w:color w:val="auto"/>
              </w:rPr>
              <w:t>Signature:</w:t>
            </w:r>
          </w:p>
        </w:tc>
        <w:tc>
          <w:tcPr>
            <w:tcW w:w="2180" w:type="dxa"/>
            <w:vAlign w:val="bottom"/>
          </w:tcPr>
          <w:p>
            <w:pPr>
              <w:spacing w:after="0"/>
              <w:rPr>
                <w:sz w:val="19"/>
                <w:szCs w:val="19"/>
                <w:color w:val="auto"/>
              </w:rPr>
            </w:pPr>
          </w:p>
        </w:tc>
        <w:tc>
          <w:tcPr>
            <w:tcW w:w="900" w:type="dxa"/>
            <w:vAlign w:val="bottom"/>
          </w:tcPr>
          <w:p>
            <w:pPr>
              <w:ind w:left="120"/>
              <w:spacing w:after="0"/>
              <w:rPr>
                <w:sz w:val="20"/>
                <w:szCs w:val="20"/>
                <w:color w:val="auto"/>
              </w:rPr>
            </w:pPr>
            <w:r>
              <w:rPr>
                <w:rFonts w:ascii="Arial" w:cs="Arial" w:eastAsia="Arial" w:hAnsi="Arial"/>
                <w:sz w:val="16"/>
                <w:szCs w:val="16"/>
                <w:color w:val="auto"/>
              </w:rPr>
              <w:t>Date:</w:t>
            </w:r>
          </w:p>
        </w:tc>
        <w:tc>
          <w:tcPr>
            <w:tcW w:w="1160" w:type="dxa"/>
            <w:vAlign w:val="bottom"/>
          </w:tcPr>
          <w:p>
            <w:pPr>
              <w:spacing w:after="0"/>
              <w:rPr>
                <w:sz w:val="19"/>
                <w:szCs w:val="19"/>
                <w:color w:val="auto"/>
              </w:rPr>
            </w:pPr>
          </w:p>
        </w:tc>
        <w:tc>
          <w:tcPr>
            <w:tcW w:w="3000" w:type="dxa"/>
            <w:vAlign w:val="bottom"/>
            <w:gridSpan w:val="2"/>
          </w:tcPr>
          <w:p>
            <w:pPr>
              <w:ind w:left="120"/>
              <w:spacing w:after="0"/>
              <w:rPr>
                <w:sz w:val="20"/>
                <w:szCs w:val="20"/>
                <w:color w:val="auto"/>
              </w:rPr>
            </w:pPr>
            <w:r>
              <w:rPr>
                <w:rFonts w:ascii="Arial" w:cs="Arial" w:eastAsia="Arial" w:hAnsi="Arial"/>
                <w:sz w:val="16"/>
                <w:szCs w:val="16"/>
                <w:color w:val="auto"/>
              </w:rPr>
              <w:t>Signature:</w:t>
            </w:r>
          </w:p>
        </w:tc>
        <w:tc>
          <w:tcPr>
            <w:tcW w:w="720" w:type="dxa"/>
            <w:vAlign w:val="bottom"/>
          </w:tcPr>
          <w:p>
            <w:pPr>
              <w:spacing w:after="0"/>
              <w:rPr>
                <w:sz w:val="19"/>
                <w:szCs w:val="19"/>
                <w:color w:val="auto"/>
              </w:rPr>
            </w:pPr>
          </w:p>
        </w:tc>
        <w:tc>
          <w:tcPr>
            <w:tcW w:w="900" w:type="dxa"/>
            <w:vAlign w:val="bottom"/>
          </w:tcPr>
          <w:p>
            <w:pPr>
              <w:jc w:val="right"/>
              <w:ind w:right="328"/>
              <w:spacing w:after="0"/>
              <w:rPr>
                <w:sz w:val="20"/>
                <w:szCs w:val="20"/>
                <w:color w:val="auto"/>
              </w:rPr>
            </w:pPr>
            <w:r>
              <w:rPr>
                <w:rFonts w:ascii="Arial" w:cs="Arial" w:eastAsia="Arial" w:hAnsi="Arial"/>
                <w:sz w:val="16"/>
                <w:szCs w:val="16"/>
                <w:color w:val="auto"/>
              </w:rPr>
              <w:t>Date:</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380" w:type="dxa"/>
            <w:vAlign w:val="bottom"/>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50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380" w:type="dxa"/>
            <w:vAlign w:val="bottom"/>
            <w:tcBorders>
              <w:bottom w:val="single" w:sz="8" w:color="808080"/>
            </w:tcBorders>
          </w:tcPr>
          <w:p>
            <w:pPr>
              <w:spacing w:after="0"/>
              <w:rPr>
                <w:sz w:val="17"/>
                <w:szCs w:val="17"/>
                <w:color w:val="auto"/>
              </w:rPr>
            </w:pPr>
          </w:p>
        </w:tc>
        <w:tc>
          <w:tcPr>
            <w:tcW w:w="218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c>
          <w:tcPr>
            <w:tcW w:w="1500" w:type="dxa"/>
            <w:vAlign w:val="bottom"/>
            <w:tcBorders>
              <w:bottom w:val="single" w:sz="8" w:color="808080"/>
            </w:tcBorders>
          </w:tcPr>
          <w:p>
            <w:pPr>
              <w:spacing w:after="0"/>
              <w:rPr>
                <w:sz w:val="17"/>
                <w:szCs w:val="17"/>
                <w:color w:val="auto"/>
              </w:rPr>
            </w:pPr>
          </w:p>
        </w:tc>
        <w:tc>
          <w:tcPr>
            <w:tcW w:w="150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11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-155575</wp:posOffset>
            </wp:positionV>
            <wp:extent cx="1270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-155575</wp:posOffset>
            </wp:positionV>
            <wp:extent cx="1270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-155575</wp:posOffset>
            </wp:positionV>
            <wp:extent cx="1270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-155575</wp:posOffset>
            </wp:positionV>
            <wp:extent cx="1270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5915025</wp:posOffset>
            </wp:positionH>
            <wp:positionV relativeFrom="paragraph">
              <wp:posOffset>-155575</wp:posOffset>
            </wp:positionV>
            <wp:extent cx="1270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-155575</wp:posOffset>
            </wp:positionV>
            <wp:extent cx="1270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-155575</wp:posOffset>
            </wp:positionV>
            <wp:extent cx="1270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-155575</wp:posOffset>
            </wp:positionV>
            <wp:extent cx="1270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QuickLinks</w:t>
      </w:r>
    </w:p>
    <w:p>
      <w:pPr>
        <w:spacing w:after="0" w:line="202" w:lineRule="exact"/>
        <w:rPr>
          <w:sz w:val="20"/>
          <w:szCs w:val="20"/>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Information about the Annual Meeting</w:t>
        </w:r>
      </w:hyperlink>
    </w:p>
    <w:p>
      <w:pPr>
        <w:spacing w:after="0" w:line="22"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Information Concerning Security Ownership</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Information Concerning Nominees for Directors (Item 1 on Proxy Card)</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Nominees for Election as Directors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Committees of the Board of Directors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Compensation of Directors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Security Ownership of Executive Officers and Directors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Executive Compensation</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Selection of Independent Public Accountants (Item 2 on Proxy Card)</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Report of the Audit Committee</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Shareholder Proposal</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Shareholder Proposal on HIV/AIDS-TB-Malaria (Item 3 on Proxy Card)</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Proponent's Statement in Support of Shareholder Proposal</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Board of Directors Statement in Opposition to Shareholder Proposal on HIV/AIDS-TB-Malaria (Item 3 on Proxy Card)</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Section 16(a) Beneficial Ownership Reporting Compliance</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Other Matters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Date for Receipt of Shareholder Proposals for the 2003 Annual Meeting Proxy Statement</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Procedure for Recommendation and Nomination of Directors and Transaction of Business at Annual Meeting</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General</w:t>
        </w:r>
      </w:hyperlink>
    </w:p>
    <w:sectPr>
      <w:pgSz w:w="11900" w:h="16838" w:orient="portrait"/>
      <w:cols w:equalWidth="0" w:num="1">
        <w:col w:w="11420"/>
      </w:cols>
      <w:pgMar w:left="240" w:top="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2)"/>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2"/>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9"/>
    </w:lvl>
  </w:abstractNum>
  <w:abstractNum w:abstractNumId="15">
    <w:nsid w:val="4E6AFB66"/>
    <w:multiLevelType w:val="hybridMultilevel"/>
    <w:lvl w:ilvl="0">
      <w:lvlJc w:val="left"/>
      <w:lvlText w:val="(%1)"/>
      <w:numFmt w:val="decimal"/>
      <w:start w:val="14"/>
    </w:lvl>
  </w:abstractNum>
  <w:abstractNum w:abstractNumId="16">
    <w:nsid w:val="25E45D3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2019-12-20T00:44:08Z</dcterms:created>
  <dcterms:modified xsi:type="dcterms:W3CDTF">2019-12-20T00:44:08Z</dcterms:modified>
</cp:coreProperties>
</file>