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Roman Michael F</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ABBOTT PARK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ABBOTT LABORATORIES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ABT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ABBOTT PARK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60064</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416</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6,746</w:t>
            </w:r>
            <w:r>
              <w:rPr>
                <w:rFonts w:ascii="Times New Roman" w:cs="Times New Roman" w:eastAsia="Times New Roman" w:hAnsi="Times New Roman"/>
                <w:sz w:val="21"/>
                <w:szCs w:val="21"/>
                <w:color w:val="008000"/>
                <w:vertAlign w:val="superscript"/>
              </w:rPr>
              <w:t>(2)</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416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90.74</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fees credited to a stock equivalent unit account and paid, in cash, generally at age 65 or upon retirement from the board. The stock equivalent units earn the same return as if the fees were invested in Abbott shares.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stock equivalent units acquired pursuant to a dividend reinvestment feature.</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F. Roman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57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Jessica H. Paik, Attorney-in-</w:t>
        <w:tab/>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7544" TargetMode="External"/><Relationship Id="rId14" Type="http://schemas.openxmlformats.org/officeDocument/2006/relationships/hyperlink" Target="http://www.sec.gov/cgi-bin/browse-edgar?action=getcompany&amp;CIK=0000001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2026-07-01T16:55:22Z</dcterms:created>
  <dcterms:modified xsi:type="dcterms:W3CDTF">2026-07-01T16:55:22Z</dcterms:modified>
</cp:coreProperties>
</file>