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Abbott Laboratories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60845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60845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002824 10 0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1863725</wp:posOffset>
            </wp:positionH>
            <wp:positionV relativeFrom="paragraph">
              <wp:posOffset>77470</wp:posOffset>
            </wp:positionV>
            <wp:extent cx="35115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0" cy="21590"/>
                    </a:xfrm>
                    <a:prstGeom prst="rect">
                      <a:avLst/>
                    </a:prstGeom>
                    <a:noFill/>
                  </pic:spPr>
                </pic:pic>
              </a:graphicData>
            </a:graphic>
          </wp:anchor>
        </w:drawing>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30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13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4"/>
          <w:szCs w:val="24"/>
          <w:color w:val="auto"/>
        </w:rPr>
      </w:pPr>
    </w:p>
    <w:p>
      <w:pPr>
        <w:spacing w:after="0"/>
        <w:tabs>
          <w:tab w:leader="none" w:pos="4260" w:val="left"/>
          <w:tab w:leader="none" w:pos="732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002824 10 0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13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4"/>
          <w:szCs w:val="24"/>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4"/>
          <w:szCs w:val="24"/>
          <w:color w:val="auto"/>
        </w:rPr>
      </w:pPr>
    </w:p>
    <w:p>
      <w:pPr>
        <w:ind w:left="720"/>
        <w:spacing w:after="0"/>
        <w:rPr>
          <w:sz w:val="20"/>
          <w:szCs w:val="20"/>
          <w:color w:val="auto"/>
        </w:rPr>
      </w:pPr>
      <w:r>
        <w:rPr>
          <w:rFonts w:ascii="Arial" w:cs="Arial" w:eastAsia="Arial" w:hAnsi="Arial"/>
          <w:sz w:val="18"/>
          <w:szCs w:val="18"/>
          <w:color w:val="auto"/>
        </w:rPr>
        <w:t>Abbott Laboratories Stock Retirement Trust</w:t>
      </w:r>
    </w:p>
    <w:p>
      <w:pPr>
        <w:spacing w:after="0" w:line="15" w:lineRule="exact"/>
        <w:rPr>
          <w:sz w:val="24"/>
          <w:szCs w:val="24"/>
          <w:color w:val="auto"/>
        </w:rPr>
      </w:pPr>
    </w:p>
    <w:p>
      <w:pPr>
        <w:ind w:left="720"/>
        <w:spacing w:after="0"/>
        <w:rPr>
          <w:sz w:val="20"/>
          <w:szCs w:val="20"/>
          <w:color w:val="auto"/>
        </w:rPr>
      </w:pPr>
      <w:r>
        <w:rPr>
          <w:rFonts w:ascii="Arial" w:cs="Arial" w:eastAsia="Arial" w:hAnsi="Arial"/>
          <w:sz w:val="18"/>
          <w:szCs w:val="18"/>
          <w:color w:val="auto"/>
        </w:rPr>
        <w:t>I.R.S. Identification No. 36-6047554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sz w:val="24"/>
          <w:szCs w:val="24"/>
          <w:color w:val="auto"/>
        </w:rPr>
      </w:pPr>
    </w:p>
    <w:p>
      <w:pPr>
        <w:ind w:left="10400"/>
        <w:spacing w:after="0"/>
        <w:rPr>
          <w:sz w:val="20"/>
          <w:szCs w:val="20"/>
          <w:color w:val="auto"/>
        </w:rPr>
      </w:pPr>
      <w:r>
        <w:rPr>
          <w:rFonts w:ascii="Arial" w:cs="Arial" w:eastAsia="Arial" w:hAnsi="Arial"/>
          <w:sz w:val="18"/>
          <w:szCs w:val="18"/>
          <w:color w:val="auto"/>
        </w:rPr>
        <w:t>(a) o</w:t>
      </w:r>
    </w:p>
    <w:p>
      <w:pPr>
        <w:spacing w:after="0" w:line="9" w:lineRule="exact"/>
        <w:rPr>
          <w:sz w:val="24"/>
          <w:szCs w:val="24"/>
          <w:color w:val="auto"/>
        </w:rPr>
      </w:pPr>
    </w:p>
    <w:p>
      <w:pPr>
        <w:ind w:left="10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880" w:right="7140" w:hanging="872"/>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Illinois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838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232"/>
              <w:spacing w:after="0"/>
              <w:rPr>
                <w:sz w:val="20"/>
                <w:szCs w:val="20"/>
                <w:color w:val="auto"/>
              </w:rPr>
            </w:pPr>
            <w:r>
              <w:rPr>
                <w:rFonts w:ascii="Arial" w:cs="Arial" w:eastAsia="Arial" w:hAnsi="Arial"/>
                <w:sz w:val="18"/>
                <w:szCs w:val="18"/>
                <w:color w:val="auto"/>
                <w:w w:val="93"/>
              </w:rPr>
              <w:t>NUMBER OF SHARES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2060" w:type="dxa"/>
            <w:vAlign w:val="bottom"/>
            <w:vMerge w:val="restart"/>
          </w:tcPr>
          <w:p>
            <w:pPr>
              <w:jc w:val="center"/>
              <w:ind w:right="212"/>
              <w:spacing w:after="0"/>
              <w:rPr>
                <w:sz w:val="20"/>
                <w:szCs w:val="20"/>
                <w:color w:val="auto"/>
              </w:rPr>
            </w:pPr>
            <w:r>
              <w:rPr>
                <w:rFonts w:ascii="Arial" w:cs="Arial" w:eastAsia="Arial" w:hAnsi="Arial"/>
                <w:sz w:val="18"/>
                <w:szCs w:val="18"/>
                <w:color w:val="auto"/>
                <w:w w:val="97"/>
              </w:rPr>
              <w:t>BENEFICIALLY</w:t>
            </w:r>
          </w:p>
        </w:tc>
        <w:tc>
          <w:tcPr>
            <w:tcW w:w="3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ind w:right="232"/>
              <w:spacing w:after="0"/>
              <w:rPr>
                <w:sz w:val="20"/>
                <w:szCs w:val="20"/>
                <w:color w:val="auto"/>
              </w:rPr>
            </w:pPr>
            <w:r>
              <w:rPr>
                <w:rFonts w:ascii="Arial" w:cs="Arial" w:eastAsia="Arial" w:hAnsi="Arial"/>
                <w:sz w:val="18"/>
                <w:szCs w:val="18"/>
                <w:color w:val="auto"/>
                <w:w w:val="95"/>
              </w:rPr>
              <w:t>OWNED BY</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838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212"/>
              <w:spacing w:after="0"/>
              <w:rPr>
                <w:sz w:val="20"/>
                <w:szCs w:val="20"/>
                <w:color w:val="auto"/>
              </w:rPr>
            </w:pPr>
            <w:r>
              <w:rPr>
                <w:rFonts w:ascii="Arial" w:cs="Arial" w:eastAsia="Arial" w:hAnsi="Arial"/>
                <w:sz w:val="18"/>
                <w:szCs w:val="18"/>
                <w:color w:val="auto"/>
                <w:w w:val="95"/>
              </w:rPr>
              <w:t>EACH</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89,278,257</w:t>
            </w:r>
          </w:p>
        </w:tc>
        <w:tc>
          <w:tcPr>
            <w:tcW w:w="0" w:type="dxa"/>
            <w:vAlign w:val="bottom"/>
          </w:tcPr>
          <w:p>
            <w:pPr>
              <w:spacing w:after="0"/>
              <w:rPr>
                <w:sz w:val="1"/>
                <w:szCs w:val="1"/>
                <w:color w:val="auto"/>
              </w:rPr>
            </w:pPr>
          </w:p>
        </w:tc>
      </w:tr>
      <w:tr>
        <w:trPr>
          <w:trHeight w:val="120"/>
        </w:trPr>
        <w:tc>
          <w:tcPr>
            <w:tcW w:w="2060" w:type="dxa"/>
            <w:vAlign w:val="bottom"/>
            <w:vMerge w:val="restart"/>
          </w:tcPr>
          <w:p>
            <w:pPr>
              <w:jc w:val="center"/>
              <w:ind w:right="232"/>
              <w:spacing w:after="0"/>
              <w:rPr>
                <w:sz w:val="20"/>
                <w:szCs w:val="20"/>
                <w:color w:val="auto"/>
              </w:rPr>
            </w:pPr>
            <w:r>
              <w:rPr>
                <w:rFonts w:ascii="Arial" w:cs="Arial" w:eastAsia="Arial" w:hAnsi="Arial"/>
                <w:sz w:val="18"/>
                <w:szCs w:val="18"/>
                <w:color w:val="auto"/>
                <w:w w:val="91"/>
              </w:rPr>
              <w:t>REPORTING</w:t>
            </w:r>
          </w:p>
        </w:tc>
        <w:tc>
          <w:tcPr>
            <w:tcW w:w="3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60" w:type="dxa"/>
            <w:vAlign w:val="bottom"/>
          </w:tcPr>
          <w:p>
            <w:pPr>
              <w:jc w:val="center"/>
              <w:ind w:right="212"/>
              <w:spacing w:after="0"/>
              <w:rPr>
                <w:sz w:val="20"/>
                <w:szCs w:val="20"/>
                <w:color w:val="auto"/>
              </w:rPr>
            </w:pPr>
            <w:r>
              <w:rPr>
                <w:rFonts w:ascii="Arial" w:cs="Arial" w:eastAsia="Arial" w:hAnsi="Arial"/>
                <w:sz w:val="18"/>
                <w:szCs w:val="18"/>
                <w:color w:val="auto"/>
                <w:w w:val="89"/>
              </w:rPr>
              <w:t>PERSON</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8380" w:type="dxa"/>
            <w:vAlign w:val="bottom"/>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232"/>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6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8380" w:type="dxa"/>
            <w:vAlign w:val="bottom"/>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89,278,257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-1211580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-1211580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-782955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-782955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-353695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4"/>
          <w:szCs w:val="24"/>
          <w:color w:val="auto"/>
        </w:rPr>
      </w:pPr>
    </w:p>
    <w:p>
      <w:pPr>
        <w:ind w:left="820" w:right="4200" w:hanging="812"/>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89,278,257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63" w:gutter="0" w:footer="0" w:header="0"/>
        </w:sectPr>
      </w:pPr>
    </w:p>
    <w:p>
      <w:pPr>
        <w:spacing w:after="0" w:line="200" w:lineRule="exact"/>
        <w:rPr>
          <w:sz w:val="24"/>
          <w:szCs w:val="24"/>
          <w:color w:val="auto"/>
        </w:rPr>
      </w:pPr>
    </w:p>
    <w:p>
      <w:pPr>
        <w:spacing w:after="0" w:line="256" w:lineRule="exact"/>
        <w:rPr>
          <w:sz w:val="24"/>
          <w:szCs w:val="24"/>
          <w:color w:val="auto"/>
        </w:rPr>
      </w:pPr>
    </w:p>
    <w:p>
      <w:pPr>
        <w:spacing w:after="0"/>
        <w:tabs>
          <w:tab w:leader="none" w:pos="80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63" w:gutter="0" w:footer="0" w:header="0"/>
          <w:type w:val="continuous"/>
        </w:sectPr>
      </w:pPr>
    </w:p>
    <w:bookmarkStart w:id="1" w:name="page2"/>
    <w:bookmarkEnd w:id="1"/>
    <w:p>
      <w:pPr>
        <w:ind w:left="820" w:right="5780" w:hanging="812"/>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820" w:right="8080" w:hanging="812"/>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4260" w:val="left"/>
          <w:tab w:leader="none" w:pos="732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002824 10 0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C. Freyman</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jc w:val="right"/>
        <w:ind w:right="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80" w:right="7140" w:hanging="872"/>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NUMBER OF</w:t>
      </w:r>
    </w:p>
    <w:p>
      <w:pPr>
        <w:spacing w:after="0" w:line="15"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6"/>
          <w:szCs w:val="16"/>
          <w:color w:val="auto"/>
        </w:rPr>
        <w:t>BENEFICIALLY</w:t>
      </w:r>
    </w:p>
    <w:p>
      <w:pPr>
        <w:spacing w:after="0" w:line="32"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338" w:hanging="338"/>
        <w:spacing w:after="0"/>
        <w:tabs>
          <w:tab w:leader="none" w:pos="3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5" w:lineRule="exact"/>
        <w:rPr>
          <w:sz w:val="20"/>
          <w:szCs w:val="20"/>
          <w:color w:val="auto"/>
        </w:rPr>
      </w:pPr>
    </w:p>
    <w:p>
      <w:pPr>
        <w:ind w:left="518"/>
        <w:spacing w:after="0"/>
        <w:rPr>
          <w:sz w:val="20"/>
          <w:szCs w:val="20"/>
          <w:color w:val="auto"/>
        </w:rPr>
      </w:pPr>
      <w:r>
        <w:rPr>
          <w:rFonts w:ascii="Arial" w:cs="Arial" w:eastAsia="Arial" w:hAnsi="Arial"/>
          <w:sz w:val="15"/>
          <w:szCs w:val="15"/>
          <w:color w:val="auto"/>
        </w:rPr>
        <w:t>14,918 shares - (Does not include shares held in the Abbott Laboratories Stock</w:t>
      </w:r>
    </w:p>
    <w:p>
      <w:pPr>
        <w:spacing w:after="0" w:line="44" w:lineRule="exact"/>
        <w:rPr>
          <w:sz w:val="20"/>
          <w:szCs w:val="20"/>
          <w:color w:val="auto"/>
        </w:rPr>
      </w:pPr>
    </w:p>
    <w:p>
      <w:pPr>
        <w:ind w:left="518"/>
        <w:spacing w:after="0"/>
        <w:tabs>
          <w:tab w:leader="none" w:pos="1598" w:val="left"/>
        </w:tabs>
        <w:rPr>
          <w:sz w:val="20"/>
          <w:szCs w:val="20"/>
          <w:color w:val="auto"/>
        </w:rPr>
      </w:pPr>
      <w:r>
        <w:rPr>
          <w:rFonts w:ascii="Arial" w:cs="Arial" w:eastAsia="Arial" w:hAnsi="Arial"/>
          <w:sz w:val="16"/>
          <w:szCs w:val="16"/>
          <w:color w:val="auto"/>
        </w:rPr>
        <w:t>direct</w:t>
      </w:r>
      <w:r>
        <w:rPr>
          <w:sz w:val="20"/>
          <w:szCs w:val="20"/>
          <w:color w:val="auto"/>
        </w:rPr>
        <w:tab/>
      </w:r>
      <w:r>
        <w:rPr>
          <w:rFonts w:ascii="Arial" w:cs="Arial" w:eastAsia="Arial" w:hAnsi="Arial"/>
          <w:sz w:val="16"/>
          <w:szCs w:val="16"/>
          <w:color w:val="auto"/>
        </w:rPr>
        <w:t>Retirement Trust for the benefit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55784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49" w:lineRule="exact"/>
        <w:rPr>
          <w:sz w:val="20"/>
          <w:szCs w:val="20"/>
          <w:color w:val="auto"/>
        </w:rPr>
      </w:pPr>
    </w:p>
    <w:p>
      <w:pPr>
        <w:ind w:left="518" w:right="5700" w:hanging="518"/>
        <w:spacing w:after="0" w:line="370" w:lineRule="auto"/>
        <w:tabs>
          <w:tab w:leader="none" w:pos="343"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SHARED VOTING POWER 92,497,449 - See Attached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55784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123" w:lineRule="exact"/>
        <w:rPr>
          <w:sz w:val="20"/>
          <w:szCs w:val="20"/>
          <w:color w:val="auto"/>
        </w:rPr>
      </w:pPr>
    </w:p>
    <w:p>
      <w:pPr>
        <w:ind w:left="518" w:right="5800" w:hanging="518"/>
        <w:spacing w:after="0" w:line="259" w:lineRule="auto"/>
        <w:tabs>
          <w:tab w:leader="none" w:pos="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14,918 shares (see note in 5 above)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55784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1" w:lineRule="exact"/>
        <w:rPr>
          <w:sz w:val="20"/>
          <w:szCs w:val="20"/>
          <w:color w:val="auto"/>
        </w:rPr>
      </w:pPr>
    </w:p>
    <w:p>
      <w:pPr>
        <w:ind w:left="518" w:right="5700" w:hanging="518"/>
        <w:spacing w:after="0" w:line="370" w:lineRule="auto"/>
        <w:tabs>
          <w:tab w:leader="none" w:pos="343"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SHARED DISPOSITIVE POWER 92,497,449 - See Attached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8890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1922" w:space="720"/>
            <w:col w:w="8778"/>
          </w:cols>
          <w:pgMar w:left="240" w:top="158" w:right="239" w:bottom="0" w:gutter="0" w:footer="0" w:header="0"/>
          <w:type w:val="continuous"/>
        </w:sectPr>
      </w:pPr>
    </w:p>
    <w:p>
      <w:pPr>
        <w:ind w:left="620" w:right="4280" w:hanging="612"/>
        <w:spacing w:after="0" w:line="370" w:lineRule="auto"/>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92,772,583 - (Total of 5 + 6 + 260,216 shares - right to acquire by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55784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367"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20" w:right="5980" w:hanging="612"/>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620" w:right="8260" w:hanging="612"/>
        <w:spacing w:after="0" w:line="26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-958850</wp:posOffset>
            </wp:positionV>
            <wp:extent cx="55784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84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55784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55784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1060" w:val="left"/>
          <w:tab w:leader="none" w:pos="5660" w:val="left"/>
          <w:tab w:leader="none" w:pos="100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002824 10 0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-10160</wp:posOffset>
            </wp:positionV>
            <wp:extent cx="892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38"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Terrence C. Kearney</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58" w:right="239" w:bottom="0" w:gutter="0" w:footer="0" w:header="0"/>
          <w:type w:val="continuous"/>
        </w:sectPr>
      </w:pPr>
    </w:p>
    <w:bookmarkStart w:id="2" w:name="page3"/>
    <w:bookmarkEnd w:id="2"/>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CHECK THE APPROPRIATE BOX IF A MEMBER OF A GROUP*</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jc w:val="right"/>
        <w:ind w:right="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80" w:right="7140" w:hanging="872"/>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NUMBER OF</w:t>
      </w:r>
    </w:p>
    <w:p>
      <w:pPr>
        <w:spacing w:after="0" w:line="15"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6"/>
          <w:szCs w:val="16"/>
          <w:color w:val="auto"/>
        </w:rPr>
        <w:t>BENEFICIALLY</w:t>
      </w:r>
    </w:p>
    <w:p>
      <w:pPr>
        <w:spacing w:after="0" w:line="32"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98"/>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338" w:hanging="338"/>
        <w:spacing w:after="0"/>
        <w:tabs>
          <w:tab w:leader="none" w:pos="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5" w:lineRule="exact"/>
        <w:rPr>
          <w:sz w:val="20"/>
          <w:szCs w:val="20"/>
          <w:color w:val="auto"/>
        </w:rPr>
      </w:pPr>
    </w:p>
    <w:p>
      <w:pPr>
        <w:ind w:left="518"/>
        <w:spacing w:after="0"/>
        <w:rPr>
          <w:sz w:val="20"/>
          <w:szCs w:val="20"/>
          <w:color w:val="auto"/>
        </w:rPr>
      </w:pPr>
      <w:r>
        <w:rPr>
          <w:rFonts w:ascii="Arial" w:cs="Arial" w:eastAsia="Arial" w:hAnsi="Arial"/>
          <w:sz w:val="15"/>
          <w:szCs w:val="15"/>
          <w:color w:val="auto"/>
        </w:rPr>
        <w:t>10,565 shares - (Does not include shares held in the Abbott Laboratories Stock</w:t>
      </w:r>
    </w:p>
    <w:p>
      <w:pPr>
        <w:spacing w:after="0" w:line="44" w:lineRule="exact"/>
        <w:rPr>
          <w:sz w:val="20"/>
          <w:szCs w:val="20"/>
          <w:color w:val="auto"/>
        </w:rPr>
      </w:pPr>
    </w:p>
    <w:p>
      <w:pPr>
        <w:ind w:left="518"/>
        <w:spacing w:after="0"/>
        <w:tabs>
          <w:tab w:leader="none" w:pos="1598" w:val="left"/>
        </w:tabs>
        <w:rPr>
          <w:sz w:val="20"/>
          <w:szCs w:val="20"/>
          <w:color w:val="auto"/>
        </w:rPr>
      </w:pPr>
      <w:r>
        <w:rPr>
          <w:rFonts w:ascii="Arial" w:cs="Arial" w:eastAsia="Arial" w:hAnsi="Arial"/>
          <w:sz w:val="16"/>
          <w:szCs w:val="16"/>
          <w:color w:val="auto"/>
        </w:rPr>
        <w:t>direct</w:t>
      </w:r>
      <w:r>
        <w:rPr>
          <w:sz w:val="20"/>
          <w:szCs w:val="20"/>
          <w:color w:val="auto"/>
        </w:rPr>
        <w:tab/>
      </w:r>
      <w:r>
        <w:rPr>
          <w:rFonts w:ascii="Arial" w:cs="Arial" w:eastAsia="Arial" w:hAnsi="Arial"/>
          <w:sz w:val="16"/>
          <w:szCs w:val="16"/>
          <w:color w:val="auto"/>
        </w:rPr>
        <w:t>Retirement Trust for the benefit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55784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49" w:lineRule="exact"/>
        <w:rPr>
          <w:sz w:val="20"/>
          <w:szCs w:val="20"/>
          <w:color w:val="auto"/>
        </w:rPr>
      </w:pPr>
    </w:p>
    <w:p>
      <w:pPr>
        <w:ind w:left="518" w:right="5700" w:hanging="518"/>
        <w:spacing w:after="0" w:line="370" w:lineRule="auto"/>
        <w:tabs>
          <w:tab w:leader="none" w:pos="343" w:val="left"/>
        </w:tabs>
        <w:numPr>
          <w:ilvl w:val="0"/>
          <w:numId w:val="22"/>
        </w:numPr>
        <w:rPr>
          <w:rFonts w:ascii="Arial" w:cs="Arial" w:eastAsia="Arial" w:hAnsi="Arial"/>
          <w:sz w:val="15"/>
          <w:szCs w:val="15"/>
          <w:color w:val="auto"/>
        </w:rPr>
      </w:pPr>
      <w:r>
        <w:rPr>
          <w:rFonts w:ascii="Arial" w:cs="Arial" w:eastAsia="Arial" w:hAnsi="Arial"/>
          <w:sz w:val="15"/>
          <w:szCs w:val="15"/>
          <w:color w:val="auto"/>
        </w:rPr>
        <w:t>SHARED VOTING POWER 92,497,449 - See Attached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55784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123" w:lineRule="exact"/>
        <w:rPr>
          <w:sz w:val="20"/>
          <w:szCs w:val="20"/>
          <w:color w:val="auto"/>
        </w:rPr>
      </w:pPr>
    </w:p>
    <w:p>
      <w:pPr>
        <w:ind w:left="518" w:right="5800" w:hanging="518"/>
        <w:spacing w:after="0" w:line="259" w:lineRule="auto"/>
        <w:tabs>
          <w:tab w:leader="none" w:pos="3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DISPOSITIVE POWER 10,565 shares (see note in 5 above)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55784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1" w:lineRule="exact"/>
        <w:rPr>
          <w:sz w:val="20"/>
          <w:szCs w:val="20"/>
          <w:color w:val="auto"/>
        </w:rPr>
      </w:pPr>
    </w:p>
    <w:p>
      <w:pPr>
        <w:ind w:left="518" w:right="5700" w:hanging="518"/>
        <w:spacing w:after="0" w:line="370" w:lineRule="auto"/>
        <w:tabs>
          <w:tab w:leader="none" w:pos="343" w:val="left"/>
        </w:tabs>
        <w:numPr>
          <w:ilvl w:val="0"/>
          <w:numId w:val="24"/>
        </w:numPr>
        <w:rPr>
          <w:rFonts w:ascii="Arial" w:cs="Arial" w:eastAsia="Arial" w:hAnsi="Arial"/>
          <w:sz w:val="15"/>
          <w:szCs w:val="15"/>
          <w:color w:val="auto"/>
        </w:rPr>
      </w:pPr>
      <w:r>
        <w:rPr>
          <w:rFonts w:ascii="Arial" w:cs="Arial" w:eastAsia="Arial" w:hAnsi="Arial"/>
          <w:sz w:val="15"/>
          <w:szCs w:val="15"/>
          <w:color w:val="auto"/>
        </w:rPr>
        <w:t>SHARED DISPOSITIVE POWER 92,497,449 - See Attached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8890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1922" w:space="720"/>
            <w:col w:w="8778"/>
          </w:cols>
          <w:pgMar w:left="240" w:top="617" w:right="239" w:bottom="0" w:gutter="0" w:footer="0" w:header="0"/>
          <w:type w:val="continuous"/>
        </w:sectPr>
      </w:pPr>
    </w:p>
    <w:p>
      <w:pPr>
        <w:ind w:left="820" w:right="4100" w:hanging="812"/>
        <w:spacing w:after="0" w:line="370" w:lineRule="auto"/>
        <w:tabs>
          <w:tab w:leader="none" w:pos="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92,627,421 - (Total of 5 + 6 + 119,407 shares - right to acquire by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7" w:lineRule="exact"/>
        <w:rPr>
          <w:sz w:val="20"/>
          <w:szCs w:val="20"/>
          <w:color w:val="auto"/>
        </w:rPr>
      </w:pPr>
    </w:p>
    <w:p>
      <w:pPr>
        <w:ind w:left="820" w:hanging="812"/>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right="5780" w:hanging="812"/>
        <w:spacing w:after="0" w:line="268"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820" w:right="8080" w:hanging="812"/>
        <w:spacing w:after="0" w:line="268"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1060" w:val="left"/>
          <w:tab w:leader="none" w:pos="5660" w:val="left"/>
          <w:tab w:leader="none" w:pos="100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002824 10 0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-10160</wp:posOffset>
            </wp:positionV>
            <wp:extent cx="892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38"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M. Wascoe</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04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80" w:right="7140" w:hanging="872"/>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640"/>
        <w:spacing w:after="0"/>
        <w:tabs>
          <w:tab w:leader="none" w:pos="2960" w:val="left"/>
        </w:tabs>
        <w:rPr>
          <w:sz w:val="20"/>
          <w:szCs w:val="20"/>
          <w:color w:val="auto"/>
        </w:rPr>
      </w:pPr>
      <w:r>
        <w:rPr>
          <w:rFonts w:ascii="Arial" w:cs="Arial" w:eastAsia="Arial" w:hAnsi="Arial"/>
          <w:sz w:val="18"/>
          <w:szCs w:val="18"/>
          <w:color w:val="auto"/>
        </w:rPr>
        <w:t>5</w:t>
        <w:tab/>
        <w:t>SOLE VOTING POWER</w:t>
      </w:r>
    </w:p>
    <w:p>
      <w:pPr>
        <w:spacing w:after="0" w:line="15" w:lineRule="exact"/>
        <w:rPr>
          <w:sz w:val="20"/>
          <w:szCs w:val="20"/>
          <w:color w:val="auto"/>
        </w:rPr>
      </w:pPr>
    </w:p>
    <w:p>
      <w:pPr>
        <w:ind w:left="640"/>
        <w:spacing w:after="0"/>
        <w:tabs>
          <w:tab w:leader="none" w:pos="314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5"/>
          <w:szCs w:val="15"/>
          <w:color w:val="auto"/>
        </w:rPr>
        <w:t>7,923 shares - (Does not include shares held in the Abbott Laboratories Stock</w:t>
      </w:r>
    </w:p>
    <w:p>
      <w:pPr>
        <w:spacing w:after="0" w:line="9" w:lineRule="exact"/>
        <w:rPr>
          <w:sz w:val="20"/>
          <w:szCs w:val="20"/>
          <w:color w:val="auto"/>
        </w:rPr>
      </w:pPr>
    </w:p>
    <w:p>
      <w:pPr>
        <w:ind w:left="820"/>
        <w:spacing w:after="0"/>
        <w:tabs>
          <w:tab w:leader="none" w:pos="3140" w:val="left"/>
          <w:tab w:leader="none" w:pos="414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direct</w:t>
      </w:r>
      <w:r>
        <w:rPr>
          <w:sz w:val="20"/>
          <w:szCs w:val="20"/>
          <w:color w:val="auto"/>
        </w:rPr>
        <w:tab/>
      </w:r>
      <w:r>
        <w:rPr>
          <w:rFonts w:ascii="Arial" w:cs="Arial" w:eastAsia="Arial" w:hAnsi="Arial"/>
          <w:sz w:val="16"/>
          <w:szCs w:val="16"/>
          <w:color w:val="auto"/>
        </w:rPr>
        <w:t>Retirement Trust for the benefit of the reporting person.)</w:t>
      </w:r>
    </w:p>
    <w:p>
      <w:pPr>
        <w:spacing w:after="0" w:line="9"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-62865</wp:posOffset>
            </wp:positionV>
            <wp:extent cx="55784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jc w:val="center"/>
        <w:ind w:right="9120"/>
        <w:spacing w:after="0"/>
        <w:rPr>
          <w:sz w:val="20"/>
          <w:szCs w:val="20"/>
          <w:color w:val="auto"/>
        </w:rPr>
      </w:pPr>
      <w:r>
        <w:rPr>
          <w:rFonts w:ascii="Arial" w:cs="Arial" w:eastAsia="Arial" w:hAnsi="Arial"/>
          <w:sz w:val="18"/>
          <w:szCs w:val="18"/>
          <w:color w:val="auto"/>
        </w:rPr>
        <w:t>OWNED BY</w:t>
      </w:r>
    </w:p>
    <w:p>
      <w:pPr>
        <w:sectPr>
          <w:pgSz w:w="11900" w:h="16838" w:orient="portrait"/>
          <w:cols w:equalWidth="0" w:num="1">
            <w:col w:w="11420"/>
          </w:cols>
          <w:pgMar w:left="240" w:top="617" w:right="239" w:bottom="0" w:gutter="0" w:footer="0" w:header="0"/>
          <w:type w:val="continuous"/>
        </w:sectPr>
      </w:pPr>
    </w:p>
    <w:bookmarkStart w:id="3" w:name="page4"/>
    <w:bookmarkEnd w:id="3"/>
    <w:tbl>
      <w:tblPr>
        <w:tblLayout w:type="fixed"/>
        <w:tblInd w:w="660" w:type="dxa"/>
        <w:tblCellMar>
          <w:top w:w="0" w:type="dxa"/>
          <w:left w:w="0" w:type="dxa"/>
          <w:bottom w:w="0" w:type="dxa"/>
          <w:right w:w="0" w:type="dxa"/>
        </w:tblCellMar>
      </w:tblPr>
      <w:tr>
        <w:trPr>
          <w:trHeight w:val="216"/>
        </w:trPr>
        <w:tc>
          <w:tcPr>
            <w:tcW w:w="1980" w:type="dxa"/>
            <w:vAlign w:val="bottom"/>
          </w:tcPr>
          <w:p>
            <w:pPr>
              <w:jc w:val="center"/>
              <w:ind w:right="892"/>
              <w:spacing w:after="0"/>
              <w:rPr>
                <w:sz w:val="20"/>
                <w:szCs w:val="20"/>
                <w:color w:val="auto"/>
              </w:rPr>
            </w:pPr>
            <w:r>
              <w:rPr>
                <w:rFonts w:ascii="Arial" w:cs="Arial" w:eastAsia="Arial" w:hAnsi="Arial"/>
                <w:sz w:val="18"/>
                <w:szCs w:val="18"/>
                <w:color w:val="auto"/>
                <w:w w:val="95"/>
              </w:rPr>
              <w:t>EACH</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6</w:t>
            </w:r>
          </w:p>
        </w:tc>
        <w:tc>
          <w:tcPr>
            <w:tcW w:w="85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80" w:type="dxa"/>
            <w:vAlign w:val="bottom"/>
          </w:tcPr>
          <w:p>
            <w:pPr>
              <w:jc w:val="center"/>
              <w:ind w:right="912"/>
              <w:spacing w:after="0"/>
              <w:rPr>
                <w:sz w:val="20"/>
                <w:szCs w:val="20"/>
                <w:color w:val="auto"/>
              </w:rPr>
            </w:pPr>
            <w:r>
              <w:rPr>
                <w:rFonts w:ascii="Arial" w:cs="Arial" w:eastAsia="Arial" w:hAnsi="Arial"/>
                <w:sz w:val="18"/>
                <w:szCs w:val="18"/>
                <w:color w:val="auto"/>
                <w:w w:val="91"/>
              </w:rPr>
              <w:t>REPORTING</w:t>
            </w:r>
          </w:p>
        </w:tc>
        <w:tc>
          <w:tcPr>
            <w:tcW w:w="2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92,497,449 - See Attached Exhibit 1</w:t>
            </w:r>
          </w:p>
        </w:tc>
        <w:tc>
          <w:tcPr>
            <w:tcW w:w="0" w:type="dxa"/>
            <w:vAlign w:val="bottom"/>
          </w:tcPr>
          <w:p>
            <w:pPr>
              <w:spacing w:after="0"/>
              <w:rPr>
                <w:sz w:val="1"/>
                <w:szCs w:val="1"/>
                <w:color w:val="auto"/>
              </w:rPr>
            </w:pPr>
          </w:p>
        </w:tc>
      </w:tr>
      <w:tr>
        <w:trPr>
          <w:trHeight w:val="127"/>
        </w:trPr>
        <w:tc>
          <w:tcPr>
            <w:tcW w:w="1980" w:type="dxa"/>
            <w:vAlign w:val="bottom"/>
            <w:vMerge w:val="restart"/>
          </w:tcPr>
          <w:p>
            <w:pPr>
              <w:jc w:val="center"/>
              <w:ind w:right="892"/>
              <w:spacing w:after="0"/>
              <w:rPr>
                <w:sz w:val="20"/>
                <w:szCs w:val="20"/>
                <w:color w:val="auto"/>
              </w:rPr>
            </w:pPr>
            <w:r>
              <w:rPr>
                <w:rFonts w:ascii="Arial" w:cs="Arial" w:eastAsia="Arial" w:hAnsi="Arial"/>
                <w:sz w:val="18"/>
                <w:szCs w:val="18"/>
                <w:color w:val="auto"/>
                <w:w w:val="89"/>
              </w:rPr>
              <w:t>PERSON</w:t>
            </w:r>
          </w:p>
        </w:tc>
        <w:tc>
          <w:tcPr>
            <w:tcW w:w="220" w:type="dxa"/>
            <w:vAlign w:val="bottom"/>
            <w:tcBorders>
              <w:bottom w:val="single" w:sz="8" w:color="808080"/>
            </w:tcBorders>
          </w:tcPr>
          <w:p>
            <w:pPr>
              <w:spacing w:after="0"/>
              <w:rPr>
                <w:sz w:val="11"/>
                <w:szCs w:val="11"/>
                <w:color w:val="auto"/>
              </w:rPr>
            </w:pPr>
          </w:p>
        </w:tc>
        <w:tc>
          <w:tcPr>
            <w:tcW w:w="8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980" w:type="dxa"/>
            <w:vAlign w:val="bottom"/>
          </w:tcPr>
          <w:p>
            <w:pPr>
              <w:jc w:val="center"/>
              <w:ind w:right="912"/>
              <w:spacing w:after="0"/>
              <w:rPr>
                <w:sz w:val="20"/>
                <w:szCs w:val="20"/>
                <w:color w:val="auto"/>
              </w:rPr>
            </w:pPr>
            <w:r>
              <w:rPr>
                <w:rFonts w:ascii="Arial" w:cs="Arial" w:eastAsia="Arial" w:hAnsi="Arial"/>
                <w:sz w:val="18"/>
                <w:szCs w:val="18"/>
                <w:color w:val="auto"/>
                <w:w w:val="99"/>
              </w:rPr>
              <w:t>WITH</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7</w:t>
            </w:r>
          </w:p>
        </w:tc>
        <w:tc>
          <w:tcPr>
            <w:tcW w:w="85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7,923 shares (see note in 5 above)</w:t>
            </w: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direct</w:t>
            </w: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9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8</w:t>
            </w:r>
          </w:p>
        </w:tc>
        <w:tc>
          <w:tcPr>
            <w:tcW w:w="85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92,497,449 - See Attached Exhibit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-920115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-353695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-920115</wp:posOffset>
            </wp:positionV>
            <wp:extent cx="215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-920115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-353695</wp:posOffset>
            </wp:positionV>
            <wp:extent cx="2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left="820" w:right="4080" w:hanging="812"/>
        <w:spacing w:after="0" w:line="370" w:lineRule="auto"/>
        <w:tabs>
          <w:tab w:leader="none" w:pos="8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92,772,934 - (Total of 5 + 6 + 267,562 shares - right to acquire by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7" w:lineRule="exact"/>
        <w:rPr>
          <w:sz w:val="20"/>
          <w:szCs w:val="20"/>
          <w:color w:val="auto"/>
        </w:rPr>
      </w:pPr>
    </w:p>
    <w:p>
      <w:pPr>
        <w:ind w:left="820" w:hanging="8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right="5780" w:hanging="812"/>
        <w:spacing w:after="0" w:line="268"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820" w:right="8080" w:hanging="812"/>
        <w:spacing w:after="0" w:line="268"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0" w:type="dxa"/>
            <w:vAlign w:val="bottom"/>
          </w:tcPr>
          <w:p>
            <w:pPr>
              <w:ind w:left="2200"/>
              <w:spacing w:after="0"/>
              <w:rPr>
                <w:sz w:val="20"/>
                <w:szCs w:val="20"/>
                <w:color w:val="auto"/>
              </w:rPr>
            </w:pPr>
            <w:r>
              <w:rPr>
                <w:rFonts w:ascii="Arial" w:cs="Arial" w:eastAsia="Arial" w:hAnsi="Arial"/>
                <w:sz w:val="18"/>
                <w:szCs w:val="18"/>
                <w:b w:val="1"/>
                <w:bCs w:val="1"/>
                <w:color w:val="auto"/>
              </w:rPr>
              <w:t>*SEE INSTRUCTIONS</w:t>
            </w:r>
          </w:p>
        </w:tc>
      </w:tr>
      <w:tr>
        <w:trPr>
          <w:trHeight w:val="228"/>
        </w:trPr>
        <w:tc>
          <w:tcPr>
            <w:tcW w:w="10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r>
        <w:trPr>
          <w:trHeight w:val="427"/>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1540" w:type="dxa"/>
            <w:vAlign w:val="bottom"/>
          </w:tcPr>
          <w:p>
            <w:pPr>
              <w:ind w:left="420"/>
              <w:spacing w:after="0"/>
              <w:rPr>
                <w:sz w:val="20"/>
                <w:szCs w:val="20"/>
                <w:color w:val="auto"/>
              </w:rPr>
            </w:pPr>
            <w:r>
              <w:rPr>
                <w:rFonts w:ascii="Arial" w:cs="Arial" w:eastAsia="Arial" w:hAnsi="Arial"/>
                <w:sz w:val="18"/>
                <w:szCs w:val="18"/>
                <w:color w:val="auto"/>
                <w:w w:val="86"/>
              </w:rPr>
              <w:t>Name of Issuer:</w:t>
            </w:r>
          </w:p>
        </w:tc>
        <w:tc>
          <w:tcPr>
            <w:tcW w:w="88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Abbott Laboratories</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Address of Issuer's Principal Executive Offices:</w:t>
            </w:r>
          </w:p>
        </w:tc>
      </w:tr>
      <w:tr>
        <w:trPr>
          <w:trHeight w:val="426"/>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100 Abbott Park Road</w:t>
            </w:r>
          </w:p>
        </w:tc>
      </w:tr>
      <w:tr>
        <w:trPr>
          <w:trHeight w:val="222"/>
        </w:trPr>
        <w:tc>
          <w:tcPr>
            <w:tcW w:w="1080" w:type="dxa"/>
            <w:vAlign w:val="bottom"/>
          </w:tcPr>
          <w:p>
            <w:pPr>
              <w:spacing w:after="0"/>
              <w:rPr>
                <w:sz w:val="19"/>
                <w:szCs w:val="19"/>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Abbott Park, Illinois 60064-6400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2(a)</w:t>
            </w: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Name of Persons Filing:</w:t>
            </w:r>
          </w:p>
        </w:tc>
      </w:tr>
      <w:tr>
        <w:trPr>
          <w:trHeight w:val="426"/>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Abbott Laboratories Stock Retirement Trust</w:t>
            </w: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Thomas C. Freyman</w:t>
            </w:r>
          </w:p>
        </w:tc>
      </w:tr>
      <w:tr>
        <w:trPr>
          <w:trHeight w:val="216"/>
        </w:trPr>
        <w:tc>
          <w:tcPr>
            <w:tcW w:w="1080" w:type="dxa"/>
            <w:vAlign w:val="bottom"/>
          </w:tcPr>
          <w:p>
            <w:pPr>
              <w:spacing w:after="0"/>
              <w:rPr>
                <w:sz w:val="18"/>
                <w:szCs w:val="18"/>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Terrence C. Kearney</w:t>
            </w:r>
          </w:p>
        </w:tc>
      </w:tr>
      <w:tr>
        <w:trPr>
          <w:trHeight w:val="222"/>
        </w:trPr>
        <w:tc>
          <w:tcPr>
            <w:tcW w:w="1080" w:type="dxa"/>
            <w:vAlign w:val="bottom"/>
          </w:tcPr>
          <w:p>
            <w:pPr>
              <w:spacing w:after="0"/>
              <w:rPr>
                <w:sz w:val="19"/>
                <w:szCs w:val="19"/>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Thomas M. Wascoe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2(b)</w:t>
            </w: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Address of Principal Business Office:</w:t>
            </w:r>
          </w:p>
        </w:tc>
      </w:tr>
      <w:tr>
        <w:trPr>
          <w:trHeight w:val="426"/>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100 Abbott Park Road</w:t>
            </w:r>
          </w:p>
        </w:tc>
      </w:tr>
      <w:tr>
        <w:trPr>
          <w:trHeight w:val="222"/>
        </w:trPr>
        <w:tc>
          <w:tcPr>
            <w:tcW w:w="1080" w:type="dxa"/>
            <w:vAlign w:val="bottom"/>
          </w:tcPr>
          <w:p>
            <w:pPr>
              <w:spacing w:after="0"/>
              <w:rPr>
                <w:sz w:val="19"/>
                <w:szCs w:val="19"/>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Abbott Park, Illinois 60064-6400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2(c)</w:t>
            </w:r>
          </w:p>
        </w:tc>
        <w:tc>
          <w:tcPr>
            <w:tcW w:w="1540" w:type="dxa"/>
            <w:vAlign w:val="bottom"/>
          </w:tcPr>
          <w:p>
            <w:pPr>
              <w:ind w:left="420"/>
              <w:spacing w:after="0"/>
              <w:rPr>
                <w:sz w:val="20"/>
                <w:szCs w:val="20"/>
                <w:color w:val="auto"/>
              </w:rPr>
            </w:pPr>
            <w:r>
              <w:rPr>
                <w:rFonts w:ascii="Arial" w:cs="Arial" w:eastAsia="Arial" w:hAnsi="Arial"/>
                <w:sz w:val="18"/>
                <w:szCs w:val="18"/>
                <w:color w:val="auto"/>
              </w:rPr>
              <w:t>Citizenship:</w:t>
            </w:r>
          </w:p>
        </w:tc>
        <w:tc>
          <w:tcPr>
            <w:tcW w:w="88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Abbott Laboratories Stock Retirement Trust - Illinois.</w:t>
            </w:r>
          </w:p>
        </w:tc>
      </w:tr>
      <w:tr>
        <w:trPr>
          <w:trHeight w:val="426"/>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Thomas C. Freyman, Terrence C. Kearney, and</w:t>
            </w:r>
          </w:p>
        </w:tc>
      </w:tr>
      <w:tr>
        <w:trPr>
          <w:trHeight w:val="222"/>
        </w:trPr>
        <w:tc>
          <w:tcPr>
            <w:tcW w:w="1080" w:type="dxa"/>
            <w:vAlign w:val="bottom"/>
          </w:tcPr>
          <w:p>
            <w:pPr>
              <w:spacing w:after="0"/>
              <w:rPr>
                <w:sz w:val="19"/>
                <w:szCs w:val="19"/>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Thomas M. Wascoe - United States</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2(d)</w:t>
            </w: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80" w:type="dxa"/>
            <w:vAlign w:val="bottom"/>
          </w:tcPr>
          <w:p>
            <w:pPr>
              <w:spacing w:after="0"/>
              <w:rPr>
                <w:sz w:val="24"/>
                <w:szCs w:val="24"/>
                <w:color w:val="auto"/>
              </w:rPr>
            </w:pP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Common shares without par value</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2(e)</w:t>
            </w: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CUSIP Number:</w:t>
            </w:r>
          </w:p>
        </w:tc>
      </w:tr>
      <w:tr>
        <w:trPr>
          <w:trHeight w:val="432"/>
        </w:trPr>
        <w:tc>
          <w:tcPr>
            <w:tcW w:w="108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Arial" w:cs="Arial" w:eastAsia="Arial" w:hAnsi="Arial"/>
                <w:sz w:val="18"/>
                <w:szCs w:val="18"/>
                <w:color w:val="auto"/>
              </w:rPr>
              <w:t>002824 10 0</w:t>
            </w:r>
          </w:p>
        </w:tc>
        <w:tc>
          <w:tcPr>
            <w:tcW w:w="88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10340" w:type="dxa"/>
            <w:vAlign w:val="bottom"/>
            <w:gridSpan w:val="2"/>
          </w:tcPr>
          <w:p>
            <w:pPr>
              <w:ind w:left="420"/>
              <w:spacing w:after="0"/>
              <w:rPr>
                <w:sz w:val="20"/>
                <w:szCs w:val="20"/>
                <w:color w:val="auto"/>
              </w:rPr>
            </w:pPr>
            <w:r>
              <w:rPr>
                <w:rFonts w:ascii="Arial" w:cs="Arial" w:eastAsia="Arial" w:hAnsi="Arial"/>
                <w:sz w:val="18"/>
                <w:szCs w:val="18"/>
                <w:color w:val="auto"/>
              </w:rPr>
              <w:t>If this statement is filed pursuant to § 240.13d-1(b) or 240.13d-2(b) or (c), check whether the person filing is an:</w:t>
            </w:r>
          </w:p>
        </w:tc>
      </w:tr>
      <w:tr>
        <w:trPr>
          <w:trHeight w:val="452"/>
        </w:trPr>
        <w:tc>
          <w:tcPr>
            <w:tcW w:w="1080" w:type="dxa"/>
            <w:vAlign w:val="bottom"/>
          </w:tcPr>
          <w:p>
            <w:pPr>
              <w:spacing w:after="0"/>
              <w:rPr>
                <w:sz w:val="24"/>
                <w:szCs w:val="24"/>
                <w:color w:val="auto"/>
              </w:rPr>
            </w:pPr>
          </w:p>
        </w:tc>
        <w:tc>
          <w:tcPr>
            <w:tcW w:w="15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8800" w:type="dxa"/>
            <w:vAlign w:val="bottom"/>
          </w:tcPr>
          <w:p>
            <w:pPr>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1540" w:type="dxa"/>
            <w:vAlign w:val="bottom"/>
          </w:tcPr>
          <w:p>
            <w:pPr>
              <w:ind w:left="760"/>
              <w:spacing w:after="0"/>
              <w:rPr>
                <w:sz w:val="20"/>
                <w:szCs w:val="20"/>
                <w:color w:val="auto"/>
              </w:rPr>
            </w:pPr>
            <w:r>
              <w:rPr>
                <w:rFonts w:ascii="Arial" w:cs="Arial" w:eastAsia="Arial" w:hAnsi="Arial"/>
                <w:sz w:val="18"/>
                <w:szCs w:val="18"/>
                <w:color w:val="auto"/>
                <w:w w:val="88"/>
              </w:rPr>
              <w:t>Ownership</w:t>
            </w:r>
          </w:p>
        </w:tc>
        <w:tc>
          <w:tcPr>
            <w:tcW w:w="8800" w:type="dxa"/>
            <w:vAlign w:val="bottom"/>
          </w:tcPr>
          <w:p>
            <w:pPr>
              <w:spacing w:after="0"/>
              <w:rPr>
                <w:sz w:val="24"/>
                <w:szCs w:val="24"/>
                <w:color w:val="auto"/>
              </w:rPr>
            </w:pPr>
          </w:p>
        </w:tc>
      </w:tr>
      <w:tr>
        <w:trPr>
          <w:trHeight w:val="426"/>
        </w:trPr>
        <w:tc>
          <w:tcPr>
            <w:tcW w:w="1080" w:type="dxa"/>
            <w:vAlign w:val="bottom"/>
          </w:tcPr>
          <w:p>
            <w:pPr>
              <w:spacing w:after="0"/>
              <w:rPr>
                <w:sz w:val="24"/>
                <w:szCs w:val="24"/>
                <w:color w:val="auto"/>
              </w:rPr>
            </w:pPr>
          </w:p>
        </w:tc>
        <w:tc>
          <w:tcPr>
            <w:tcW w:w="1540" w:type="dxa"/>
            <w:vAlign w:val="bottom"/>
          </w:tcPr>
          <w:p>
            <w:pPr>
              <w:ind w:left="760"/>
              <w:spacing w:after="0"/>
              <w:rPr>
                <w:sz w:val="20"/>
                <w:szCs w:val="20"/>
                <w:color w:val="auto"/>
              </w:rPr>
            </w:pPr>
            <w:r>
              <w:rPr>
                <w:rFonts w:ascii="Arial" w:cs="Arial" w:eastAsia="Arial" w:hAnsi="Arial"/>
                <w:sz w:val="18"/>
                <w:szCs w:val="18"/>
                <w:color w:val="auto"/>
              </w:rPr>
              <w:t>(a)</w:t>
            </w:r>
          </w:p>
        </w:tc>
        <w:tc>
          <w:tcPr>
            <w:tcW w:w="8800" w:type="dxa"/>
            <w:vAlign w:val="bottom"/>
          </w:tcPr>
          <w:p>
            <w:pPr>
              <w:spacing w:after="0"/>
              <w:rPr>
                <w:sz w:val="20"/>
                <w:szCs w:val="20"/>
                <w:color w:val="auto"/>
              </w:rPr>
            </w:pPr>
            <w:r>
              <w:rPr>
                <w:rFonts w:ascii="Arial" w:cs="Arial" w:eastAsia="Arial" w:hAnsi="Arial"/>
                <w:sz w:val="18"/>
                <w:szCs w:val="18"/>
                <w:color w:val="auto"/>
              </w:rPr>
              <w:t>(See cover pages 2, 3,</w:t>
            </w:r>
          </w:p>
        </w:tc>
      </w:tr>
      <w:tr>
        <w:trPr>
          <w:trHeight w:val="216"/>
        </w:trPr>
        <w:tc>
          <w:tcPr>
            <w:tcW w:w="1080" w:type="dxa"/>
            <w:vAlign w:val="bottom"/>
          </w:tcPr>
          <w:p>
            <w:pPr>
              <w:spacing w:after="0"/>
              <w:rPr>
                <w:sz w:val="18"/>
                <w:szCs w:val="18"/>
                <w:color w:val="auto"/>
              </w:rPr>
            </w:pPr>
          </w:p>
        </w:tc>
        <w:tc>
          <w:tcPr>
            <w:tcW w:w="1540" w:type="dxa"/>
            <w:vAlign w:val="bottom"/>
          </w:tcPr>
          <w:p>
            <w:pPr>
              <w:ind w:left="760"/>
              <w:spacing w:after="0"/>
              <w:rPr>
                <w:sz w:val="20"/>
                <w:szCs w:val="20"/>
                <w:color w:val="auto"/>
              </w:rPr>
            </w:pPr>
            <w:r>
              <w:rPr>
                <w:rFonts w:ascii="Arial" w:cs="Arial" w:eastAsia="Arial" w:hAnsi="Arial"/>
                <w:sz w:val="18"/>
                <w:szCs w:val="18"/>
                <w:color w:val="auto"/>
              </w:rPr>
              <w:t>(b)</w:t>
            </w:r>
          </w:p>
        </w:tc>
        <w:tc>
          <w:tcPr>
            <w:tcW w:w="8800" w:type="dxa"/>
            <w:vAlign w:val="bottom"/>
          </w:tcPr>
          <w:p>
            <w:pPr>
              <w:spacing w:after="0"/>
              <w:rPr>
                <w:sz w:val="20"/>
                <w:szCs w:val="20"/>
                <w:color w:val="auto"/>
              </w:rPr>
            </w:pPr>
            <w:r>
              <w:rPr>
                <w:rFonts w:ascii="Arial" w:cs="Arial" w:eastAsia="Arial" w:hAnsi="Arial"/>
                <w:sz w:val="18"/>
                <w:szCs w:val="18"/>
                <w:color w:val="auto"/>
              </w:rPr>
              <w:t>4 and 5, Items 5 through</w:t>
            </w:r>
          </w:p>
        </w:tc>
      </w:tr>
      <w:tr>
        <w:trPr>
          <w:trHeight w:val="222"/>
        </w:trPr>
        <w:tc>
          <w:tcPr>
            <w:tcW w:w="1080" w:type="dxa"/>
            <w:vAlign w:val="bottom"/>
          </w:tcPr>
          <w:p>
            <w:pPr>
              <w:spacing w:after="0"/>
              <w:rPr>
                <w:sz w:val="19"/>
                <w:szCs w:val="19"/>
                <w:color w:val="auto"/>
              </w:rPr>
            </w:pPr>
          </w:p>
        </w:tc>
        <w:tc>
          <w:tcPr>
            <w:tcW w:w="1540" w:type="dxa"/>
            <w:vAlign w:val="bottom"/>
          </w:tcPr>
          <w:p>
            <w:pPr>
              <w:ind w:left="760"/>
              <w:spacing w:after="0"/>
              <w:rPr>
                <w:sz w:val="20"/>
                <w:szCs w:val="20"/>
                <w:color w:val="auto"/>
              </w:rPr>
            </w:pPr>
            <w:r>
              <w:rPr>
                <w:rFonts w:ascii="Arial" w:cs="Arial" w:eastAsia="Arial" w:hAnsi="Arial"/>
                <w:sz w:val="18"/>
                <w:szCs w:val="18"/>
                <w:color w:val="auto"/>
              </w:rPr>
              <w:t>(c)</w:t>
            </w:r>
          </w:p>
        </w:tc>
        <w:tc>
          <w:tcPr>
            <w:tcW w:w="8800" w:type="dxa"/>
            <w:vAlign w:val="bottom"/>
          </w:tcPr>
          <w:p>
            <w:pPr>
              <w:spacing w:after="0"/>
              <w:rPr>
                <w:sz w:val="20"/>
                <w:szCs w:val="20"/>
                <w:color w:val="auto"/>
              </w:rPr>
            </w:pPr>
            <w:r>
              <w:rPr>
                <w:rFonts w:ascii="Arial" w:cs="Arial" w:eastAsia="Arial" w:hAnsi="Arial"/>
                <w:sz w:val="18"/>
                <w:szCs w:val="18"/>
                <w:color w:val="auto"/>
              </w:rPr>
              <w:t>9 and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-6322695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-6322695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10220" w:type="dxa"/>
            <w:vAlign w:val="bottom"/>
          </w:tcPr>
          <w:p>
            <w:pPr>
              <w:ind w:left="640"/>
              <w:spacing w:after="0"/>
              <w:rPr>
                <w:sz w:val="20"/>
                <w:szCs w:val="20"/>
                <w:color w:val="auto"/>
              </w:rPr>
            </w:pPr>
            <w:r>
              <w:rPr>
                <w:rFonts w:ascii="Arial" w:cs="Arial" w:eastAsia="Arial" w:hAnsi="Arial"/>
                <w:sz w:val="18"/>
                <w:szCs w:val="18"/>
                <w:color w:val="auto"/>
              </w:rPr>
              <w:t>Ownership of Five Percent or Less of a Class</w:t>
            </w:r>
          </w:p>
        </w:tc>
      </w:tr>
      <w:tr>
        <w:trPr>
          <w:trHeight w:val="432"/>
        </w:trPr>
        <w:tc>
          <w:tcPr>
            <w:tcW w:w="1200" w:type="dxa"/>
            <w:vAlign w:val="bottom"/>
          </w:tcPr>
          <w:p>
            <w:pPr>
              <w:spacing w:after="0"/>
              <w:rPr>
                <w:sz w:val="24"/>
                <w:szCs w:val="24"/>
                <w:color w:val="auto"/>
              </w:rPr>
            </w:pPr>
          </w:p>
        </w:tc>
        <w:tc>
          <w:tcPr>
            <w:tcW w:w="10220" w:type="dxa"/>
            <w:vAlign w:val="bottom"/>
          </w:tcPr>
          <w:p>
            <w:pPr>
              <w:ind w:left="640"/>
              <w:spacing w:after="0"/>
              <w:rPr>
                <w:sz w:val="20"/>
                <w:szCs w:val="20"/>
                <w:color w:val="auto"/>
              </w:rPr>
            </w:pPr>
            <w:r>
              <w:rPr>
                <w:rFonts w:ascii="Arial" w:cs="Arial" w:eastAsia="Arial" w:hAnsi="Arial"/>
                <w:sz w:val="18"/>
                <w:szCs w:val="18"/>
                <w:color w:val="auto"/>
              </w:rPr>
              <w:t>Not applicable.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10220" w:type="dxa"/>
            <w:vAlign w:val="bottom"/>
          </w:tcPr>
          <w:p>
            <w:pPr>
              <w:ind w:left="6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26"/>
        </w:trPr>
        <w:tc>
          <w:tcPr>
            <w:tcW w:w="1200" w:type="dxa"/>
            <w:vAlign w:val="bottom"/>
          </w:tcPr>
          <w:p>
            <w:pPr>
              <w:spacing w:after="0"/>
              <w:rPr>
                <w:sz w:val="24"/>
                <w:szCs w:val="24"/>
                <w:color w:val="auto"/>
              </w:rPr>
            </w:pPr>
          </w:p>
        </w:tc>
        <w:tc>
          <w:tcPr>
            <w:tcW w:w="10220" w:type="dxa"/>
            <w:vAlign w:val="bottom"/>
          </w:tcPr>
          <w:p>
            <w:pPr>
              <w:ind w:left="640"/>
              <w:spacing w:after="0"/>
              <w:rPr>
                <w:sz w:val="20"/>
                <w:szCs w:val="20"/>
                <w:color w:val="auto"/>
              </w:rPr>
            </w:pPr>
            <w:r>
              <w:rPr>
                <w:rFonts w:ascii="Arial" w:cs="Arial" w:eastAsia="Arial" w:hAnsi="Arial"/>
                <w:sz w:val="18"/>
                <w:szCs w:val="18"/>
                <w:color w:val="auto"/>
                <w:w w:val="92"/>
              </w:rPr>
              <w:t>Effective as of June 1, 2002, the Abbott Laboratories 401(k) Plan, referred to in Amendment No. 23, was merged with and into the</w:t>
            </w:r>
          </w:p>
        </w:tc>
      </w:tr>
      <w:tr>
        <w:trPr>
          <w:trHeight w:val="216"/>
        </w:trPr>
        <w:tc>
          <w:tcPr>
            <w:tcW w:w="1200" w:type="dxa"/>
            <w:vAlign w:val="bottom"/>
          </w:tcPr>
          <w:p>
            <w:pPr>
              <w:spacing w:after="0"/>
              <w:rPr>
                <w:sz w:val="18"/>
                <w:szCs w:val="18"/>
                <w:color w:val="auto"/>
              </w:rPr>
            </w:pPr>
          </w:p>
        </w:tc>
        <w:tc>
          <w:tcPr>
            <w:tcW w:w="10220" w:type="dxa"/>
            <w:vAlign w:val="bottom"/>
          </w:tcPr>
          <w:p>
            <w:pPr>
              <w:ind w:left="640"/>
              <w:spacing w:after="0"/>
              <w:rPr>
                <w:sz w:val="20"/>
                <w:szCs w:val="20"/>
                <w:color w:val="auto"/>
              </w:rPr>
            </w:pPr>
            <w:r>
              <w:rPr>
                <w:rFonts w:ascii="Arial" w:cs="Arial" w:eastAsia="Arial" w:hAnsi="Arial"/>
                <w:sz w:val="18"/>
                <w:szCs w:val="18"/>
                <w:color w:val="auto"/>
                <w:w w:val="91"/>
              </w:rPr>
              <w:t>Abbott Laboratories Stock Retirement Plan. The shares owned by the Abbott Laboratories Stock Retirement Trust and the dividends</w:t>
            </w:r>
          </w:p>
        </w:tc>
      </w:tr>
      <w:tr>
        <w:trPr>
          <w:trHeight w:val="216"/>
        </w:trPr>
        <w:tc>
          <w:tcPr>
            <w:tcW w:w="1200" w:type="dxa"/>
            <w:vAlign w:val="bottom"/>
          </w:tcPr>
          <w:p>
            <w:pPr>
              <w:spacing w:after="0"/>
              <w:rPr>
                <w:sz w:val="18"/>
                <w:szCs w:val="18"/>
                <w:color w:val="auto"/>
              </w:rPr>
            </w:pPr>
          </w:p>
        </w:tc>
        <w:tc>
          <w:tcPr>
            <w:tcW w:w="10220" w:type="dxa"/>
            <w:vAlign w:val="bottom"/>
          </w:tcPr>
          <w:p>
            <w:pPr>
              <w:ind w:left="640"/>
              <w:spacing w:after="0"/>
              <w:rPr>
                <w:sz w:val="20"/>
                <w:szCs w:val="20"/>
                <w:color w:val="auto"/>
              </w:rPr>
            </w:pPr>
            <w:r>
              <w:rPr>
                <w:rFonts w:ascii="Arial" w:cs="Arial" w:eastAsia="Arial" w:hAnsi="Arial"/>
                <w:sz w:val="18"/>
                <w:szCs w:val="18"/>
                <w:color w:val="auto"/>
                <w:w w:val="89"/>
              </w:rPr>
              <w:t>thereon are held for the benefit of participants of the Abbott Laboratories Stock Retirement Plan pursuant to the terms of that Plan and</w:t>
            </w:r>
          </w:p>
        </w:tc>
      </w:tr>
      <w:tr>
        <w:trPr>
          <w:trHeight w:val="216"/>
        </w:trPr>
        <w:tc>
          <w:tcPr>
            <w:tcW w:w="1200" w:type="dxa"/>
            <w:vAlign w:val="bottom"/>
          </w:tcPr>
          <w:p>
            <w:pPr>
              <w:spacing w:after="0"/>
              <w:rPr>
                <w:sz w:val="18"/>
                <w:szCs w:val="18"/>
                <w:color w:val="auto"/>
              </w:rPr>
            </w:pPr>
          </w:p>
        </w:tc>
        <w:tc>
          <w:tcPr>
            <w:tcW w:w="10220" w:type="dxa"/>
            <w:vAlign w:val="bottom"/>
          </w:tcPr>
          <w:p>
            <w:pPr>
              <w:ind w:left="640"/>
              <w:spacing w:after="0"/>
              <w:rPr>
                <w:sz w:val="20"/>
                <w:szCs w:val="20"/>
                <w:color w:val="auto"/>
              </w:rPr>
            </w:pPr>
            <w:r>
              <w:rPr>
                <w:rFonts w:ascii="Arial" w:cs="Arial" w:eastAsia="Arial" w:hAnsi="Arial"/>
                <w:sz w:val="18"/>
                <w:szCs w:val="18"/>
                <w:color w:val="auto"/>
                <w:w w:val="92"/>
              </w:rPr>
              <w:t>the Trust. The Abbott Laboratories Stock Retirement Plan is a qualified employee stock ownership plan. As of December 31, 2002,</w:t>
            </w:r>
          </w:p>
        </w:tc>
      </w:tr>
      <w:tr>
        <w:trPr>
          <w:trHeight w:val="222"/>
        </w:trPr>
        <w:tc>
          <w:tcPr>
            <w:tcW w:w="1200" w:type="dxa"/>
            <w:vAlign w:val="bottom"/>
          </w:tcPr>
          <w:p>
            <w:pPr>
              <w:spacing w:after="0"/>
              <w:rPr>
                <w:sz w:val="19"/>
                <w:szCs w:val="19"/>
                <w:color w:val="auto"/>
              </w:rPr>
            </w:pPr>
          </w:p>
        </w:tc>
        <w:tc>
          <w:tcPr>
            <w:tcW w:w="10220" w:type="dxa"/>
            <w:vAlign w:val="bottom"/>
          </w:tcPr>
          <w:p>
            <w:pPr>
              <w:ind w:left="640"/>
              <w:spacing w:after="0"/>
              <w:rPr>
                <w:sz w:val="20"/>
                <w:szCs w:val="20"/>
                <w:color w:val="auto"/>
              </w:rPr>
            </w:pPr>
            <w:r>
              <w:rPr>
                <w:rFonts w:ascii="Arial" w:cs="Arial" w:eastAsia="Arial" w:hAnsi="Arial"/>
                <w:sz w:val="18"/>
                <w:szCs w:val="18"/>
                <w:color w:val="auto"/>
              </w:rPr>
              <w:t>there were 43,954 participants with share balances in the Plan.</w:t>
            </w:r>
          </w:p>
        </w:tc>
      </w:tr>
      <w:tr>
        <w:trPr>
          <w:trHeight w:val="432"/>
        </w:trPr>
        <w:tc>
          <w:tcPr>
            <w:tcW w:w="1200" w:type="dxa"/>
            <w:vAlign w:val="bottom"/>
          </w:tcPr>
          <w:p>
            <w:pPr>
              <w:spacing w:after="0"/>
              <w:rPr>
                <w:sz w:val="24"/>
                <w:szCs w:val="24"/>
                <w:color w:val="auto"/>
              </w:rPr>
            </w:pPr>
          </w:p>
        </w:tc>
        <w:tc>
          <w:tcPr>
            <w:tcW w:w="10220" w:type="dxa"/>
            <w:vAlign w:val="bottom"/>
          </w:tcPr>
          <w:p>
            <w:pPr>
              <w:ind w:left="4080"/>
              <w:spacing w:after="0"/>
              <w:rPr>
                <w:sz w:val="20"/>
                <w:szCs w:val="20"/>
                <w:color w:val="auto"/>
              </w:rPr>
            </w:pPr>
            <w:r>
              <w:rPr>
                <w:rFonts w:ascii="Arial" w:cs="Arial" w:eastAsia="Arial" w:hAnsi="Arial"/>
                <w:sz w:val="18"/>
                <w:szCs w:val="18"/>
                <w:color w:val="auto"/>
              </w:rPr>
              <w:t>Page 6 of 13</w:t>
            </w:r>
          </w:p>
        </w:tc>
      </w:tr>
      <w:tr>
        <w:trPr>
          <w:trHeight w:val="228"/>
        </w:trPr>
        <w:tc>
          <w:tcPr>
            <w:tcW w:w="1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8"/>
                <w:szCs w:val="18"/>
                <w:color w:val="auto"/>
              </w:rPr>
              <w:t>Item 7.</w:t>
            </w:r>
          </w:p>
        </w:tc>
        <w:tc>
          <w:tcPr>
            <w:tcW w:w="10220" w:type="dxa"/>
            <w:vAlign w:val="bottom"/>
          </w:tcPr>
          <w:p>
            <w:pPr>
              <w:ind w:left="620"/>
              <w:spacing w:after="0"/>
              <w:rPr>
                <w:sz w:val="20"/>
                <w:szCs w:val="20"/>
                <w:color w:val="auto"/>
              </w:rPr>
            </w:pPr>
            <w:r>
              <w:rPr>
                <w:rFonts w:ascii="Arial" w:cs="Arial" w:eastAsia="Arial" w:hAnsi="Arial"/>
                <w:sz w:val="18"/>
                <w:szCs w:val="18"/>
                <w:color w:val="auto"/>
                <w:w w:val="90"/>
              </w:rPr>
              <w:t>Identification and Classification of the Subsidiary Which Acquired the Security Being Reported on by the Parent Holding Company or</w:t>
            </w:r>
          </w:p>
        </w:tc>
      </w:tr>
      <w:tr>
        <w:trPr>
          <w:trHeight w:val="222"/>
        </w:trPr>
        <w:tc>
          <w:tcPr>
            <w:tcW w:w="1200" w:type="dxa"/>
            <w:vAlign w:val="bottom"/>
          </w:tcPr>
          <w:p>
            <w:pPr>
              <w:spacing w:after="0"/>
              <w:rPr>
                <w:sz w:val="19"/>
                <w:szCs w:val="19"/>
                <w:color w:val="auto"/>
              </w:rPr>
            </w:pPr>
          </w:p>
        </w:tc>
        <w:tc>
          <w:tcPr>
            <w:tcW w:w="10220" w:type="dxa"/>
            <w:vAlign w:val="bottom"/>
          </w:tcPr>
          <w:p>
            <w:pPr>
              <w:ind w:left="620"/>
              <w:spacing w:after="0"/>
              <w:rPr>
                <w:sz w:val="20"/>
                <w:szCs w:val="20"/>
                <w:color w:val="auto"/>
              </w:rPr>
            </w:pPr>
            <w:r>
              <w:rPr>
                <w:rFonts w:ascii="Arial" w:cs="Arial" w:eastAsia="Arial" w:hAnsi="Arial"/>
                <w:sz w:val="18"/>
                <w:szCs w:val="18"/>
                <w:color w:val="auto"/>
              </w:rPr>
              <w:t>Control Person.</w:t>
            </w:r>
          </w:p>
        </w:tc>
      </w:tr>
      <w:tr>
        <w:trPr>
          <w:trHeight w:val="432"/>
        </w:trPr>
        <w:tc>
          <w:tcPr>
            <w:tcW w:w="1200" w:type="dxa"/>
            <w:vAlign w:val="bottom"/>
          </w:tcPr>
          <w:p>
            <w:pPr>
              <w:spacing w:after="0"/>
              <w:rPr>
                <w:sz w:val="24"/>
                <w:szCs w:val="24"/>
                <w:color w:val="auto"/>
              </w:rPr>
            </w:pPr>
          </w:p>
        </w:tc>
        <w:tc>
          <w:tcPr>
            <w:tcW w:w="10220" w:type="dxa"/>
            <w:vAlign w:val="bottom"/>
          </w:tcPr>
          <w:p>
            <w:pPr>
              <w:ind w:left="620"/>
              <w:spacing w:after="0"/>
              <w:rPr>
                <w:sz w:val="20"/>
                <w:szCs w:val="20"/>
                <w:color w:val="auto"/>
              </w:rPr>
            </w:pPr>
            <w:r>
              <w:rPr>
                <w:rFonts w:ascii="Arial" w:cs="Arial" w:eastAsia="Arial" w:hAnsi="Arial"/>
                <w:sz w:val="18"/>
                <w:szCs w:val="18"/>
                <w:color w:val="auto"/>
              </w:rPr>
              <w:t>Not applicable.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Item 8.</w:t>
            </w:r>
          </w:p>
        </w:tc>
        <w:tc>
          <w:tcPr>
            <w:tcW w:w="10220" w:type="dxa"/>
            <w:vAlign w:val="bottom"/>
          </w:tcPr>
          <w:p>
            <w:pPr>
              <w:ind w:left="62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1200" w:type="dxa"/>
            <w:vAlign w:val="bottom"/>
          </w:tcPr>
          <w:p>
            <w:pPr>
              <w:spacing w:after="0"/>
              <w:rPr>
                <w:sz w:val="24"/>
                <w:szCs w:val="24"/>
                <w:color w:val="auto"/>
              </w:rPr>
            </w:pPr>
          </w:p>
        </w:tc>
        <w:tc>
          <w:tcPr>
            <w:tcW w:w="10220" w:type="dxa"/>
            <w:vAlign w:val="bottom"/>
          </w:tcPr>
          <w:p>
            <w:pPr>
              <w:ind w:left="620"/>
              <w:spacing w:after="0"/>
              <w:rPr>
                <w:sz w:val="20"/>
                <w:szCs w:val="20"/>
                <w:color w:val="auto"/>
              </w:rPr>
            </w:pPr>
            <w:r>
              <w:rPr>
                <w:rFonts w:ascii="Arial" w:cs="Arial" w:eastAsia="Arial" w:hAnsi="Arial"/>
                <w:sz w:val="18"/>
                <w:szCs w:val="18"/>
                <w:color w:val="auto"/>
              </w:rPr>
              <w:t>Not applicable.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Item 9.</w:t>
            </w:r>
          </w:p>
        </w:tc>
        <w:tc>
          <w:tcPr>
            <w:tcW w:w="10220" w:type="dxa"/>
            <w:vAlign w:val="bottom"/>
          </w:tcPr>
          <w:p>
            <w:pPr>
              <w:ind w:left="620"/>
              <w:spacing w:after="0"/>
              <w:rPr>
                <w:sz w:val="20"/>
                <w:szCs w:val="20"/>
                <w:color w:val="auto"/>
              </w:rPr>
            </w:pPr>
            <w:r>
              <w:rPr>
                <w:rFonts w:ascii="Arial" w:cs="Arial" w:eastAsia="Arial" w:hAnsi="Arial"/>
                <w:sz w:val="18"/>
                <w:szCs w:val="18"/>
                <w:color w:val="auto"/>
              </w:rPr>
              <w:t>Notice of Dissolution of Group.</w:t>
            </w:r>
          </w:p>
        </w:tc>
      </w:tr>
      <w:tr>
        <w:trPr>
          <w:trHeight w:val="432"/>
        </w:trPr>
        <w:tc>
          <w:tcPr>
            <w:tcW w:w="1200" w:type="dxa"/>
            <w:vAlign w:val="bottom"/>
          </w:tcPr>
          <w:p>
            <w:pPr>
              <w:spacing w:after="0"/>
              <w:rPr>
                <w:sz w:val="24"/>
                <w:szCs w:val="24"/>
                <w:color w:val="auto"/>
              </w:rPr>
            </w:pPr>
          </w:p>
        </w:tc>
        <w:tc>
          <w:tcPr>
            <w:tcW w:w="10220" w:type="dxa"/>
            <w:vAlign w:val="bottom"/>
          </w:tcPr>
          <w:p>
            <w:pPr>
              <w:ind w:left="620"/>
              <w:spacing w:after="0"/>
              <w:rPr>
                <w:sz w:val="20"/>
                <w:szCs w:val="20"/>
                <w:color w:val="auto"/>
              </w:rPr>
            </w:pPr>
            <w:r>
              <w:rPr>
                <w:rFonts w:ascii="Arial" w:cs="Arial" w:eastAsia="Arial" w:hAnsi="Arial"/>
                <w:sz w:val="18"/>
                <w:szCs w:val="18"/>
                <w:color w:val="auto"/>
              </w:rPr>
              <w:t>Not applicable.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Item 10.</w:t>
            </w:r>
          </w:p>
        </w:tc>
        <w:tc>
          <w:tcPr>
            <w:tcW w:w="10220" w:type="dxa"/>
            <w:vAlign w:val="bottom"/>
          </w:tcPr>
          <w:p>
            <w:pPr>
              <w:ind w:left="620"/>
              <w:spacing w:after="0"/>
              <w:rPr>
                <w:sz w:val="20"/>
                <w:szCs w:val="20"/>
                <w:color w:val="auto"/>
              </w:rPr>
            </w:pPr>
            <w:r>
              <w:rPr>
                <w:rFonts w:ascii="Arial" w:cs="Arial" w:eastAsia="Arial" w:hAnsi="Arial"/>
                <w:sz w:val="18"/>
                <w:szCs w:val="18"/>
                <w:color w:val="auto"/>
              </w:rPr>
              <w:t>Certification.</w:t>
            </w:r>
          </w:p>
        </w:tc>
      </w:tr>
      <w:tr>
        <w:trPr>
          <w:trHeight w:val="432"/>
        </w:trPr>
        <w:tc>
          <w:tcPr>
            <w:tcW w:w="1200" w:type="dxa"/>
            <w:vAlign w:val="bottom"/>
          </w:tcPr>
          <w:p>
            <w:pPr>
              <w:spacing w:after="0"/>
              <w:rPr>
                <w:sz w:val="24"/>
                <w:szCs w:val="24"/>
                <w:color w:val="auto"/>
              </w:rPr>
            </w:pPr>
          </w:p>
        </w:tc>
        <w:tc>
          <w:tcPr>
            <w:tcW w:w="10220" w:type="dxa"/>
            <w:vAlign w:val="bottom"/>
          </w:tcPr>
          <w:p>
            <w:pPr>
              <w:ind w:left="620"/>
              <w:spacing w:after="0"/>
              <w:rPr>
                <w:sz w:val="20"/>
                <w:szCs w:val="20"/>
                <w:color w:val="auto"/>
              </w:rPr>
            </w:pPr>
            <w:r>
              <w:rPr>
                <w:rFonts w:ascii="Arial" w:cs="Arial" w:eastAsia="Arial" w:hAnsi="Arial"/>
                <w:sz w:val="18"/>
                <w:szCs w:val="18"/>
                <w:color w:val="auto"/>
              </w:rPr>
              <w:t>Not applicable.</w:t>
            </w:r>
          </w:p>
        </w:tc>
      </w:tr>
      <w:tr>
        <w:trPr>
          <w:trHeight w:val="432"/>
        </w:trPr>
        <w:tc>
          <w:tcPr>
            <w:tcW w:w="1200" w:type="dxa"/>
            <w:vAlign w:val="bottom"/>
          </w:tcPr>
          <w:p>
            <w:pPr>
              <w:spacing w:after="0"/>
              <w:rPr>
                <w:sz w:val="24"/>
                <w:szCs w:val="24"/>
                <w:color w:val="auto"/>
              </w:rPr>
            </w:pPr>
          </w:p>
        </w:tc>
        <w:tc>
          <w:tcPr>
            <w:tcW w:w="10220" w:type="dxa"/>
            <w:vAlign w:val="bottom"/>
          </w:tcPr>
          <w:p>
            <w:pPr>
              <w:ind w:left="4080"/>
              <w:spacing w:after="0"/>
              <w:rPr>
                <w:sz w:val="20"/>
                <w:szCs w:val="20"/>
                <w:color w:val="auto"/>
              </w:rPr>
            </w:pPr>
            <w:r>
              <w:rPr>
                <w:rFonts w:ascii="Arial" w:cs="Arial" w:eastAsia="Arial" w:hAnsi="Arial"/>
                <w:sz w:val="18"/>
                <w:szCs w:val="18"/>
                <w:color w:val="auto"/>
              </w:rPr>
              <w:t>Page 7 of 13</w:t>
            </w:r>
          </w:p>
        </w:tc>
      </w:tr>
      <w:tr>
        <w:trPr>
          <w:trHeight w:val="228"/>
        </w:trPr>
        <w:tc>
          <w:tcPr>
            <w:tcW w:w="1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-2844165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filed on behalf of each individual listed below pursuant to their agreement.</w:t>
      </w:r>
    </w:p>
    <w:p>
      <w:pPr>
        <w:spacing w:after="0" w:line="200" w:lineRule="exact"/>
        <w:rPr>
          <w:sz w:val="20"/>
          <w:szCs w:val="20"/>
          <w:color w:val="auto"/>
        </w:rPr>
      </w:pPr>
    </w:p>
    <w:p>
      <w:pPr>
        <w:spacing w:after="0" w:line="23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February 3, 2003</w:t>
      </w:r>
      <w:r>
        <w:rPr>
          <w:sz w:val="20"/>
          <w:szCs w:val="20"/>
          <w:color w:val="auto"/>
        </w:rPr>
        <w:tab/>
      </w:r>
      <w:r>
        <w:rPr>
          <w:rFonts w:ascii="Arial" w:cs="Arial" w:eastAsia="Arial" w:hAnsi="Arial"/>
          <w:sz w:val="16"/>
          <w:szCs w:val="16"/>
          <w:color w:val="auto"/>
        </w:rPr>
        <w:t>ABBOTT LABORATORIES STOCK RETIREMENT TRUST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C. Freyman, Co-Trustee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Terrence C. Kearney, Co-Trustee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THOMAS M. WASCOE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M. Wascoe, Co-Trustee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Signature</w:t>
        </w:r>
      </w:hyperlink>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22"/>
          <w:szCs w:val="22"/>
          <w:color w:val="0000EE"/>
        </w:rPr>
      </w:pPr>
      <w:hyperlink w:anchor="page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Amendment No.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shares without par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CUSIP Number 002824 10 0</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Messrs. Freyman, Kearney, and Wascoe are Co-trustees of the Abbott Laboratories Stock Retirement Trust, committee members of a committee established under the Abbott Laboratories Stock Retirement Trust (Puerto Rico), Trustees of the Abbott Laboratories Employee Benefit Trust, and members of the Abbott Stock Committee for the Abbott Laboratories Ashland Union 401(k) Trust. As such, each of them has shared voting power over the 92,497,449 shares held by those trusts. This total is comprised of the following components:</w:t>
      </w:r>
    </w:p>
    <w:p>
      <w:pPr>
        <w:spacing w:after="0" w:line="193" w:lineRule="exact"/>
        <w:rPr>
          <w:sz w:val="20"/>
          <w:szCs w:val="20"/>
          <w:color w:val="auto"/>
        </w:rPr>
      </w:pPr>
    </w:p>
    <w:p>
      <w:pPr>
        <w:ind w:left="940"/>
        <w:spacing w:after="0"/>
        <w:tabs>
          <w:tab w:leader="none" w:pos="6300" w:val="left"/>
        </w:tabs>
        <w:rPr>
          <w:sz w:val="20"/>
          <w:szCs w:val="20"/>
          <w:color w:val="auto"/>
        </w:rPr>
      </w:pPr>
      <w:r>
        <w:rPr>
          <w:rFonts w:ascii="Arial" w:cs="Arial" w:eastAsia="Arial" w:hAnsi="Arial"/>
          <w:sz w:val="14"/>
          <w:szCs w:val="14"/>
          <w:b w:val="1"/>
          <w:bCs w:val="1"/>
          <w:color w:val="auto"/>
        </w:rPr>
        <w:t>Number of Shares</w:t>
      </w:r>
      <w:r>
        <w:rPr>
          <w:sz w:val="20"/>
          <w:szCs w:val="20"/>
          <w:color w:val="auto"/>
        </w:rPr>
        <w:tab/>
      </w:r>
      <w:r>
        <w:rPr>
          <w:rFonts w:ascii="Arial" w:cs="Arial" w:eastAsia="Arial" w:hAnsi="Arial"/>
          <w:sz w:val="12"/>
          <w:szCs w:val="12"/>
          <w:b w:val="1"/>
          <w:bCs w:val="1"/>
          <w:color w:val="auto"/>
        </w:rPr>
        <w:t>Name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652145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15"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89,278,257</w:t>
      </w:r>
      <w:r>
        <w:rPr>
          <w:sz w:val="20"/>
          <w:szCs w:val="20"/>
          <w:color w:val="auto"/>
        </w:rPr>
        <w:tab/>
      </w:r>
      <w:r>
        <w:rPr>
          <w:rFonts w:ascii="Arial" w:cs="Arial" w:eastAsia="Arial" w:hAnsi="Arial"/>
          <w:sz w:val="18"/>
          <w:szCs w:val="18"/>
          <w:color w:val="auto"/>
        </w:rPr>
        <w:t>Abbott Laboratories Stock Retirement Trust</w:t>
      </w:r>
    </w:p>
    <w:p>
      <w:pPr>
        <w:spacing w:after="0" w:line="15" w:lineRule="exact"/>
        <w:rPr>
          <w:sz w:val="20"/>
          <w:szCs w:val="20"/>
          <w:color w:val="auto"/>
        </w:rPr>
      </w:pPr>
    </w:p>
    <w:p>
      <w:pPr>
        <w:ind w:left="1640"/>
        <w:spacing w:after="0"/>
        <w:tabs>
          <w:tab w:leader="none" w:pos="2620" w:val="left"/>
        </w:tabs>
        <w:rPr>
          <w:sz w:val="20"/>
          <w:szCs w:val="20"/>
          <w:color w:val="auto"/>
        </w:rPr>
      </w:pPr>
      <w:r>
        <w:rPr>
          <w:rFonts w:ascii="Arial" w:cs="Arial" w:eastAsia="Arial" w:hAnsi="Arial"/>
          <w:sz w:val="18"/>
          <w:szCs w:val="18"/>
          <w:color w:val="auto"/>
        </w:rPr>
        <w:t>3,104,311</w:t>
      </w:r>
      <w:r>
        <w:rPr>
          <w:sz w:val="20"/>
          <w:szCs w:val="20"/>
          <w:color w:val="auto"/>
        </w:rPr>
        <w:tab/>
      </w:r>
      <w:r>
        <w:rPr>
          <w:rFonts w:ascii="Arial" w:cs="Arial" w:eastAsia="Arial" w:hAnsi="Arial"/>
          <w:sz w:val="18"/>
          <w:szCs w:val="18"/>
          <w:color w:val="auto"/>
        </w:rPr>
        <w:t>Abbott Laboratories Stock Retirement Trust (Puerto Rico)</w:t>
      </w:r>
    </w:p>
    <w:p>
      <w:pPr>
        <w:spacing w:after="0" w:line="9" w:lineRule="exact"/>
        <w:rPr>
          <w:sz w:val="20"/>
          <w:szCs w:val="20"/>
          <w:color w:val="auto"/>
        </w:rPr>
      </w:pPr>
    </w:p>
    <w:p>
      <w:pPr>
        <w:ind w:left="1860"/>
        <w:spacing w:after="0"/>
        <w:tabs>
          <w:tab w:leader="none" w:pos="2620" w:val="left"/>
        </w:tabs>
        <w:rPr>
          <w:sz w:val="20"/>
          <w:szCs w:val="20"/>
          <w:color w:val="auto"/>
        </w:rPr>
      </w:pPr>
      <w:r>
        <w:rPr>
          <w:rFonts w:ascii="Arial" w:cs="Arial" w:eastAsia="Arial" w:hAnsi="Arial"/>
          <w:sz w:val="18"/>
          <w:szCs w:val="18"/>
          <w:color w:val="auto"/>
        </w:rPr>
        <w:t>52,000</w:t>
      </w:r>
      <w:r>
        <w:rPr>
          <w:sz w:val="20"/>
          <w:szCs w:val="20"/>
          <w:color w:val="auto"/>
        </w:rPr>
        <w:tab/>
      </w:r>
      <w:r>
        <w:rPr>
          <w:rFonts w:ascii="Arial" w:cs="Arial" w:eastAsia="Arial" w:hAnsi="Arial"/>
          <w:sz w:val="18"/>
          <w:szCs w:val="18"/>
          <w:color w:val="auto"/>
        </w:rPr>
        <w:t>Abbott Laboratories Employee Benefit Trust</w:t>
      </w:r>
    </w:p>
    <w:p>
      <w:pPr>
        <w:spacing w:after="0" w:line="9" w:lineRule="exact"/>
        <w:rPr>
          <w:sz w:val="20"/>
          <w:szCs w:val="20"/>
          <w:color w:val="auto"/>
        </w:rPr>
      </w:pPr>
    </w:p>
    <w:p>
      <w:pPr>
        <w:ind w:left="1860"/>
        <w:spacing w:after="0"/>
        <w:tabs>
          <w:tab w:leader="none" w:pos="2620" w:val="left"/>
        </w:tabs>
        <w:rPr>
          <w:sz w:val="20"/>
          <w:szCs w:val="20"/>
          <w:color w:val="auto"/>
        </w:rPr>
      </w:pPr>
      <w:r>
        <w:rPr>
          <w:rFonts w:ascii="Arial" w:cs="Arial" w:eastAsia="Arial" w:hAnsi="Arial"/>
          <w:sz w:val="18"/>
          <w:szCs w:val="18"/>
          <w:color w:val="auto"/>
        </w:rPr>
        <w:t>62,881</w:t>
      </w:r>
      <w:r>
        <w:rPr>
          <w:sz w:val="20"/>
          <w:szCs w:val="20"/>
          <w:color w:val="auto"/>
        </w:rPr>
        <w:tab/>
      </w:r>
      <w:r>
        <w:rPr>
          <w:rFonts w:ascii="Arial" w:cs="Arial" w:eastAsia="Arial" w:hAnsi="Arial"/>
          <w:sz w:val="18"/>
          <w:szCs w:val="18"/>
          <w:color w:val="auto"/>
        </w:rPr>
        <w:t>Abbott Laboratories Ashland Union 401(k) Trust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Disclaimer of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Rule 13d-4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6103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10360" cy="8890"/>
                    </a:xfrm>
                    <a:prstGeom prst="rect">
                      <a:avLst/>
                    </a:prstGeom>
                    <a:noFill/>
                  </pic:spPr>
                </pic:pic>
              </a:graphicData>
            </a:graphic>
          </wp:anchor>
        </w:drawing>
      </w:r>
    </w:p>
    <w:p>
      <w:pPr>
        <w:spacing w:after="0" w:line="199"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filing of Schedule 13G Amendment 24 on behalf of the Abbott Laboratories Stock Retirement Trust does not constitute an admission that the undersigned is, for purposes of Section 13(d) of the Securities and Exchange Act of 1934, the beneficial owner of any securities covered by the Schedule. Pursuant to Rule 13d-4 of the Act, the undersigned disclaims such ownership with respect to any shares listed therein of which he would not otherwise be deemed to be beneficial owner.</w:t>
      </w:r>
    </w:p>
    <w:p>
      <w:pPr>
        <w:spacing w:after="0" w:line="1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Thomas C. Freyman</w:t>
      </w:r>
    </w:p>
    <w:p>
      <w:pPr>
        <w:spacing w:after="0" w:line="225" w:lineRule="exact"/>
        <w:rPr>
          <w:sz w:val="20"/>
          <w:szCs w:val="20"/>
          <w:color w:val="auto"/>
        </w:rPr>
      </w:pPr>
    </w:p>
    <w:p>
      <w:pPr>
        <w:jc w:val="center"/>
        <w:ind w:right="460"/>
        <w:spacing w:after="0"/>
        <w:tabs>
          <w:tab w:leader="none" w:pos="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3,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Disclaimer of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Rule 13d-4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6103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10360" cy="8890"/>
                    </a:xfrm>
                    <a:prstGeom prst="rect">
                      <a:avLst/>
                    </a:prstGeom>
                    <a:noFill/>
                  </pic:spPr>
                </pic:pic>
              </a:graphicData>
            </a:graphic>
          </wp:anchor>
        </w:drawing>
      </w:r>
    </w:p>
    <w:p>
      <w:pPr>
        <w:spacing w:after="0" w:line="199"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filing of Schedule 13G Amendment 24 on behalf of the Abbott Laboratories Stock Retirement Trust does not constitute an admission that the undersigned is, for purposes of Section 13(d) of the Securities and Exchange Act of 1934, the beneficial owner of any securities covered by the Schedule. Pursuant to Rule 13d-4 of the Act, the undersigned disclaims such ownership with respect to any shares listed therein of which he would not otherwise be deemed to be beneficial owner.</w:t>
      </w:r>
    </w:p>
    <w:p>
      <w:pPr>
        <w:spacing w:after="0" w:line="1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Terrence C. Kearney</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 February 3,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Disclaimer of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Rule 13d-4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6103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10360" cy="8890"/>
                    </a:xfrm>
                    <a:prstGeom prst="rect">
                      <a:avLst/>
                    </a:prstGeom>
                    <a:noFill/>
                  </pic:spPr>
                </pic:pic>
              </a:graphicData>
            </a:graphic>
          </wp:anchor>
        </w:drawing>
      </w:r>
    </w:p>
    <w:p>
      <w:pPr>
        <w:spacing w:after="0" w:line="1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filing of Schedule 13G Amendment 24 on behalf of the Abbott Laboratories Stock Retirement Trust does not constitute an admission that the undersigned is, for purposes of Section 13(d) of the Securities and Exchange Act of 1934, the beneficial owner of any securities covered by the Schedule. Pursuant to Rule 13d-4 of the Act, the undersigned disclaims such ownership with respect to any shares listed therein of which she would not otherwise be deemed to be beneficial owner.</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THOMAS M. WASCOE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Thomas M. Wascoe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 February 3, 2003</w:t>
      </w:r>
    </w:p>
    <w:p>
      <w:pPr>
        <w:sectPr>
          <w:pgSz w:w="11900" w:h="16838" w:orient="portrait"/>
          <w:cols w:equalWidth="0" w:num="1">
            <w:col w:w="11380"/>
          </w:cols>
          <w:pgMar w:left="240" w:top="361" w:right="279" w:bottom="0" w:gutter="0" w:footer="0" w:header="0"/>
        </w:sectPr>
      </w:pPr>
    </w:p>
    <w:bookmarkStart w:id="6" w:name="page7"/>
    <w:bookmarkEnd w:id="6"/>
    <w:p>
      <w:pPr>
        <w:jc w:val="right"/>
        <w:ind w:right="4019"/>
        <w:spacing w:after="0"/>
        <w:rPr>
          <w:sz w:val="20"/>
          <w:szCs w:val="20"/>
          <w:color w:val="auto"/>
        </w:rPr>
      </w:pPr>
      <w:r>
        <w:rPr>
          <w:rFonts w:ascii="Arial" w:cs="Arial" w:eastAsia="Arial" w:hAnsi="Arial"/>
          <w:sz w:val="18"/>
          <w:szCs w:val="18"/>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EXHIBIT 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Disclaimer of Beneficial Ownership under Rule 13d-4</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Disclaimer of Beneficial Ownership under Rule 13d-4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Disclaimer of Beneficial Ownership under Rule 13d-4</w:t>
        </w:r>
      </w:hyperlink>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22"/>
          <w:szCs w:val="22"/>
          <w:color w:val="0000EE"/>
        </w:rPr>
      </w:pPr>
      <w:hyperlink w:anchor="page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ABBOTT LABORATORIES STOCK RETIREMENT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 SCHEDULE 13G FILINGS</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undersigned, being co-trustees of the Abbott Laboratories Stock Retirement Trust (the "Trust"), hereby agree that one Securities and Exchange Commission Schedule 13G (and any required amendment(s) thereto) be filed on their behalf with respect to the Trust's beneficial ownership interest in shares of common stock of Abbott Laboratories. This Agreement may be revoked in writing by any one of the undersigned.</w:t>
      </w:r>
    </w:p>
    <w:p>
      <w:pPr>
        <w:spacing w:after="0" w:line="37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February 3, 2003</w:t>
      </w:r>
      <w:r>
        <w:rPr>
          <w:sz w:val="20"/>
          <w:szCs w:val="20"/>
          <w:color w:val="auto"/>
        </w:rPr>
        <w:tab/>
      </w:r>
      <w:r>
        <w:rPr>
          <w:rFonts w:ascii="Arial" w:cs="Arial" w:eastAsia="Arial" w:hAnsi="Arial"/>
          <w:sz w:val="16"/>
          <w:szCs w:val="16"/>
          <w:color w:val="auto"/>
        </w:rPr>
        <w:t>/s/ 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Thomas C. Freyman</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Terrence C. Kearney</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THOMAS M. WASCOE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Thomas M. Wascoe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EXHIBIT 2</w:t>
        </w:r>
      </w:hyperlink>
    </w:p>
    <w:sectPr>
      <w:pgSz w:w="11900" w:h="16838" w:orient="portrait"/>
      <w:cols w:equalWidth="0" w:num="1">
        <w:col w:w="11400"/>
      </w:cols>
      <w:pgMar w:left="240" w:top="36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bullet"/>
      <w:start w:val="1"/>
    </w:lvl>
  </w:abstractNum>
  <w:abstractNum w:abstractNumId="1">
    <w:nsid w:val="25E45D32"/>
    <w:multiLevelType w:val="hybridMultilevel"/>
    <w:lvl w:ilvl="0">
      <w:lvlJc w:val="left"/>
      <w:lvlText w:val="2"/>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9"/>
      <w:numFmt w:val="bullet"/>
      <w:start w:val="1"/>
    </w:lvl>
  </w:abstractNum>
  <w:abstractNum w:abstractNumId="5">
    <w:nsid w:val="7C83E458"/>
    <w:multiLevelType w:val="hybridMultilevel"/>
    <w:lvl w:ilvl="0">
      <w:lvlJc w:val="left"/>
      <w:lvlText w:val="%1"/>
      <w:numFmt w:val="decimal"/>
      <w:start w:val="11"/>
    </w:lvl>
  </w:abstractNum>
  <w:abstractNum w:abstractNumId="6">
    <w:nsid w:val="257130A3"/>
    <w:multiLevelType w:val="hybridMultilevel"/>
    <w:lvl w:ilvl="0">
      <w:lvlJc w:val="left"/>
      <w:lvlText w:val="1"/>
      <w:numFmt w:val="bullet"/>
      <w:start w:val="1"/>
    </w:lvl>
  </w:abstractNum>
  <w:abstractNum w:abstractNumId="7">
    <w:nsid w:val="62BBD95A"/>
    <w:multiLevelType w:val="hybridMultilevel"/>
    <w:lvl w:ilvl="0">
      <w:lvlJc w:val="left"/>
      <w:lvlText w:val="2"/>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7"/>
      <w:numFmt w:val="bullet"/>
      <w:start w:val="1"/>
    </w:lvl>
  </w:abstractNum>
  <w:abstractNum w:abstractNumId="13">
    <w:nsid w:val="2D1D5AE9"/>
    <w:multiLevelType w:val="hybridMultilevel"/>
    <w:lvl w:ilvl="0">
      <w:lvlJc w:val="left"/>
      <w:lvlText w:val="8"/>
      <w:numFmt w:val="bullet"/>
      <w:start w:val="1"/>
    </w:lvl>
  </w:abstractNum>
  <w:abstractNum w:abstractNumId="14">
    <w:nsid w:val="6763845E"/>
    <w:multiLevelType w:val="hybridMultilevel"/>
    <w:lvl w:ilvl="0">
      <w:lvlJc w:val="left"/>
      <w:lvlText w:val="9"/>
      <w:numFmt w:val="bullet"/>
      <w:start w:val="1"/>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3"/>
      <w:numFmt w:val="bullet"/>
      <w:start w:val="1"/>
    </w:lvl>
  </w:abstractNum>
  <w:abstractNum w:abstractNumId="19">
    <w:nsid w:val="B03E0C6"/>
    <w:multiLevelType w:val="hybridMultilevel"/>
    <w:lvl w:ilvl="0">
      <w:lvlJc w:val="left"/>
      <w:lvlText w:val="4"/>
      <w:numFmt w:val="bullet"/>
      <w:start w:val="1"/>
    </w:lvl>
  </w:abstractNum>
  <w:abstractNum w:abstractNumId="20">
    <w:nsid w:val="189A769B"/>
    <w:multiLevelType w:val="hybridMultilevel"/>
    <w:lvl w:ilvl="0">
      <w:lvlJc w:val="left"/>
      <w:lvlText w:val="5"/>
      <w:numFmt w:val="bullet"/>
      <w:start w:val="1"/>
    </w:lvl>
  </w:abstractNum>
  <w:abstractNum w:abstractNumId="21">
    <w:nsid w:val="54E49EB4"/>
    <w:multiLevelType w:val="hybridMultilevel"/>
    <w:lvl w:ilvl="0">
      <w:lvlJc w:val="left"/>
      <w:lvlText w:val="6"/>
      <w:numFmt w:val="bullet"/>
      <w:start w:val="1"/>
    </w:lvl>
  </w:abstractNum>
  <w:abstractNum w:abstractNumId="22">
    <w:nsid w:val="71F32454"/>
    <w:multiLevelType w:val="hybridMultilevel"/>
    <w:lvl w:ilvl="0">
      <w:lvlJc w:val="left"/>
      <w:lvlText w:val="7"/>
      <w:numFmt w:val="bullet"/>
      <w:start w:val="1"/>
    </w:lvl>
  </w:abstractNum>
  <w:abstractNum w:abstractNumId="23">
    <w:nsid w:val="2CA88611"/>
    <w:multiLevelType w:val="hybridMultilevel"/>
    <w:lvl w:ilvl="0">
      <w:lvlJc w:val="left"/>
      <w:lvlText w:val="8"/>
      <w:numFmt w:val="bullet"/>
      <w:start w:val="1"/>
    </w:lvl>
  </w:abstractNum>
  <w:abstractNum w:abstractNumId="24">
    <w:nsid w:val="836C40E"/>
    <w:multiLevelType w:val="hybridMultilevel"/>
    <w:lvl w:ilvl="0">
      <w:lvlJc w:val="left"/>
      <w:lvlText w:val="9"/>
      <w:numFmt w:val="bullet"/>
      <w:start w:val="1"/>
    </w:lvl>
  </w:abstractNum>
  <w:abstractNum w:abstractNumId="25">
    <w:nsid w:val="2901D82"/>
    <w:multiLevelType w:val="hybridMultilevel"/>
    <w:lvl w:ilvl="0">
      <w:lvlJc w:val="left"/>
      <w:lvlText w:val="%1"/>
      <w:numFmt w:val="decimal"/>
      <w:start w:val="10"/>
    </w:lvl>
  </w:abstractNum>
  <w:abstractNum w:abstractNumId="26">
    <w:nsid w:val="3A95F874"/>
    <w:multiLevelType w:val="hybridMultilevel"/>
    <w:lvl w:ilvl="0">
      <w:lvlJc w:val="left"/>
      <w:lvlText w:val="1"/>
      <w:numFmt w:val="bullet"/>
      <w:start w:val="1"/>
    </w:lvl>
  </w:abstractNum>
  <w:abstractNum w:abstractNumId="27">
    <w:nsid w:val="8138641"/>
    <w:multiLevelType w:val="hybridMultilevel"/>
    <w:lvl w:ilvl="0">
      <w:lvlJc w:val="left"/>
      <w:lvlText w:val="2"/>
      <w:numFmt w:val="bullet"/>
      <w:start w:val="1"/>
    </w:lvl>
  </w:abstractNum>
  <w:abstractNum w:abstractNumId="28">
    <w:nsid w:val="1E7FF521"/>
    <w:multiLevelType w:val="hybridMultilevel"/>
    <w:lvl w:ilvl="0">
      <w:lvlJc w:val="left"/>
      <w:lvlText w:val="3"/>
      <w:numFmt w:val="bullet"/>
      <w:start w:val="1"/>
    </w:lvl>
  </w:abstractNum>
  <w:abstractNum w:abstractNumId="29">
    <w:nsid w:val="7C3DBD3D"/>
    <w:multiLevelType w:val="hybridMultilevel"/>
    <w:lvl w:ilvl="0">
      <w:lvlJc w:val="left"/>
      <w:lvlText w:val="4"/>
      <w:numFmt w:val="bullet"/>
      <w:start w:val="1"/>
    </w:lvl>
  </w:abstractNum>
  <w:abstractNum w:abstractNumId="30">
    <w:nsid w:val="737B8DDC"/>
    <w:multiLevelType w:val="hybridMultilevel"/>
    <w:lvl w:ilvl="0">
      <w:lvlJc w:val="left"/>
      <w:lvlText w:val="9"/>
      <w:numFmt w:val="bullet"/>
      <w:start w:val="1"/>
    </w:lvl>
  </w:abstractNum>
  <w:abstractNum w:abstractNumId="31">
    <w:nsid w:val="6CEAF08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2019-12-12T08:29:53Z</dcterms:created>
  <dcterms:modified xsi:type="dcterms:W3CDTF">2019-12-12T08:29:53Z</dcterms:modified>
</cp:coreProperties>
</file>