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5" w:lineRule="exact"/>
        <w:rPr>
          <w:sz w:val="24"/>
          <w:szCs w:val="24"/>
          <w:color w:val="auto"/>
        </w:rPr>
      </w:pPr>
    </w:p>
    <w:p>
      <w:pPr>
        <w:ind w:left="920" w:right="1920" w:hanging="338"/>
        <w:spacing w:after="0" w:line="275" w:lineRule="auto"/>
        <w:tabs>
          <w:tab w:leader="none" w:pos="920" w:val="left"/>
        </w:tabs>
        <w:numPr>
          <w:ilvl w:val="0"/>
          <w:numId w:val="1"/>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5" w:lineRule="exact"/>
        <w:rPr>
          <w:sz w:val="24"/>
          <w:szCs w:val="24"/>
          <w:color w:val="auto"/>
        </w:rPr>
      </w:pPr>
    </w:p>
    <w:p>
      <w:pPr>
        <w:ind w:left="920" w:right="1900" w:hanging="320"/>
        <w:spacing w:after="0" w:line="287" w:lineRule="auto"/>
        <w:tabs>
          <w:tab w:leader="none" w:pos="920" w:val="left"/>
        </w:tabs>
        <w:numPr>
          <w:ilvl w:val="0"/>
          <w:numId w:val="2"/>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74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39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38"/>
        </w:trPr>
        <w:tc>
          <w:tcPr>
            <w:tcW w:w="3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3"/>
          </w:tcPr>
          <w:p>
            <w:pPr>
              <w:jc w:val="center"/>
              <w:ind w:right="3153"/>
              <w:spacing w:after="0"/>
              <w:rPr>
                <w:sz w:val="20"/>
                <w:szCs w:val="20"/>
                <w:color w:val="auto"/>
              </w:rPr>
            </w:pPr>
            <w:r>
              <w:rPr>
                <w:rFonts w:ascii="Times New Roman" w:cs="Times New Roman" w:eastAsia="Times New Roman" w:hAnsi="Times New Roman"/>
                <w:sz w:val="18"/>
                <w:szCs w:val="18"/>
                <w:b w:val="1"/>
                <w:bCs w:val="1"/>
                <w:color w:val="auto"/>
              </w:rPr>
              <w:t>Commission File No. 1-2189</w:t>
            </w:r>
          </w:p>
        </w:tc>
      </w:tr>
      <w:tr>
        <w:trPr>
          <w:trHeight w:val="453"/>
        </w:trPr>
        <w:tc>
          <w:tcPr>
            <w:tcW w:w="3580" w:type="dxa"/>
            <w:vAlign w:val="bottom"/>
          </w:tcPr>
          <w:p>
            <w:pPr>
              <w:spacing w:after="0"/>
              <w:rPr>
                <w:sz w:val="24"/>
                <w:szCs w:val="24"/>
                <w:color w:val="auto"/>
              </w:rPr>
            </w:pPr>
          </w:p>
        </w:tc>
        <w:tc>
          <w:tcPr>
            <w:tcW w:w="6640" w:type="dxa"/>
            <w:vAlign w:val="bottom"/>
            <w:gridSpan w:val="4"/>
          </w:tcPr>
          <w:p>
            <w:pPr>
              <w:jc w:val="center"/>
              <w:ind w:right="2633"/>
              <w:spacing w:after="0"/>
              <w:rPr>
                <w:sz w:val="20"/>
                <w:szCs w:val="20"/>
                <w:color w:val="auto"/>
              </w:rPr>
            </w:pPr>
            <w:r>
              <w:rPr>
                <w:rFonts w:ascii="Times New Roman" w:cs="Times New Roman" w:eastAsia="Times New Roman" w:hAnsi="Times New Roman"/>
                <w:sz w:val="29"/>
                <w:szCs w:val="29"/>
                <w:b w:val="1"/>
                <w:bCs w:val="1"/>
                <w:color w:val="auto"/>
                <w:w w:val="98"/>
              </w:rPr>
              <w:t>ABBOTT LABORATORIES</w:t>
            </w:r>
          </w:p>
        </w:tc>
      </w:tr>
      <w:tr>
        <w:trPr>
          <w:trHeight w:val="385"/>
        </w:trPr>
        <w:tc>
          <w:tcPr>
            <w:tcW w:w="358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An Illinois Corporation</w:t>
            </w: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ind w:right="1173"/>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270"/>
        </w:trPr>
        <w:tc>
          <w:tcPr>
            <w:tcW w:w="3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900" w:type="dxa"/>
            <w:vAlign w:val="bottom"/>
          </w:tcPr>
          <w:p>
            <w:pPr>
              <w:jc w:val="right"/>
              <w:ind w:right="2053"/>
              <w:spacing w:after="0"/>
              <w:rPr>
                <w:sz w:val="20"/>
                <w:szCs w:val="20"/>
                <w:color w:val="auto"/>
              </w:rPr>
            </w:pPr>
            <w:r>
              <w:rPr>
                <w:rFonts w:ascii="Times New Roman" w:cs="Times New Roman" w:eastAsia="Times New Roman" w:hAnsi="Times New Roman"/>
                <w:sz w:val="18"/>
                <w:szCs w:val="18"/>
                <w:b w:val="1"/>
                <w:bCs w:val="1"/>
                <w:color w:val="auto"/>
              </w:rPr>
              <w:t>36-0698440</w:t>
            </w:r>
          </w:p>
        </w:tc>
      </w:tr>
      <w:tr>
        <w:trPr>
          <w:trHeight w:val="450"/>
        </w:trPr>
        <w:tc>
          <w:tcPr>
            <w:tcW w:w="3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3"/>
          </w:tcPr>
          <w:p>
            <w:pPr>
              <w:jc w:val="center"/>
              <w:ind w:right="3133"/>
              <w:spacing w:after="0"/>
              <w:rPr>
                <w:sz w:val="20"/>
                <w:szCs w:val="20"/>
                <w:color w:val="auto"/>
              </w:rPr>
            </w:pPr>
            <w:r>
              <w:rPr>
                <w:rFonts w:ascii="Times New Roman" w:cs="Times New Roman" w:eastAsia="Times New Roman" w:hAnsi="Times New Roman"/>
                <w:sz w:val="18"/>
                <w:szCs w:val="18"/>
                <w:b w:val="1"/>
                <w:bCs w:val="1"/>
                <w:color w:val="auto"/>
              </w:rPr>
              <w:t>100 Abbott Park Road</w:t>
            </w:r>
          </w:p>
        </w:tc>
      </w:tr>
      <w:tr>
        <w:trPr>
          <w:trHeight w:val="238"/>
        </w:trPr>
        <w:tc>
          <w:tcPr>
            <w:tcW w:w="3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120" w:type="dxa"/>
            <w:vAlign w:val="bottom"/>
            <w:gridSpan w:val="3"/>
          </w:tcPr>
          <w:p>
            <w:pPr>
              <w:jc w:val="center"/>
              <w:ind w:right="3133"/>
              <w:spacing w:after="0"/>
              <w:rPr>
                <w:sz w:val="20"/>
                <w:szCs w:val="20"/>
                <w:color w:val="auto"/>
              </w:rPr>
            </w:pPr>
            <w:r>
              <w:rPr>
                <w:rFonts w:ascii="Times New Roman" w:cs="Times New Roman" w:eastAsia="Times New Roman" w:hAnsi="Times New Roman"/>
                <w:sz w:val="18"/>
                <w:szCs w:val="18"/>
                <w:b w:val="1"/>
                <w:bCs w:val="1"/>
                <w:color w:val="auto"/>
                <w:w w:val="99"/>
              </w:rPr>
              <w:t>Abbott Park, Illinois 60064-6400</w:t>
            </w:r>
          </w:p>
        </w:tc>
      </w:tr>
      <w:tr>
        <w:trPr>
          <w:trHeight w:val="324"/>
        </w:trPr>
        <w:tc>
          <w:tcPr>
            <w:tcW w:w="3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3"/>
          </w:tcPr>
          <w:p>
            <w:pPr>
              <w:jc w:val="center"/>
              <w:ind w:right="3153"/>
              <w:spacing w:after="0"/>
              <w:rPr>
                <w:sz w:val="20"/>
                <w:szCs w:val="20"/>
                <w:color w:val="auto"/>
              </w:rPr>
            </w:pPr>
            <w:r>
              <w:rPr>
                <w:rFonts w:ascii="Times New Roman" w:cs="Times New Roman" w:eastAsia="Times New Roman" w:hAnsi="Times New Roman"/>
                <w:sz w:val="18"/>
                <w:szCs w:val="18"/>
                <w:color w:val="auto"/>
                <w:w w:val="98"/>
              </w:rPr>
              <w:t xml:space="preserve">Telephone: </w:t>
            </w:r>
            <w:r>
              <w:rPr>
                <w:rFonts w:ascii="Times New Roman" w:cs="Times New Roman" w:eastAsia="Times New Roman" w:hAnsi="Times New Roman"/>
                <w:sz w:val="18"/>
                <w:szCs w:val="18"/>
                <w:b w:val="1"/>
                <w:bCs w:val="1"/>
                <w:color w:val="auto"/>
                <w:w w:val="98"/>
              </w:rPr>
              <w:t>(224) 667-6100</w:t>
            </w:r>
          </w:p>
        </w:tc>
      </w:tr>
      <w:tr>
        <w:trPr>
          <w:trHeight w:val="273"/>
        </w:trPr>
        <w:tc>
          <w:tcPr>
            <w:tcW w:w="3580" w:type="dxa"/>
            <w:vAlign w:val="bottom"/>
          </w:tcPr>
          <w:p>
            <w:pPr>
              <w:spacing w:after="0"/>
              <w:rPr>
                <w:sz w:val="23"/>
                <w:szCs w:val="23"/>
                <w:color w:val="auto"/>
              </w:rPr>
            </w:pPr>
          </w:p>
        </w:tc>
        <w:tc>
          <w:tcPr>
            <w:tcW w:w="6640" w:type="dxa"/>
            <w:vAlign w:val="bottom"/>
            <w:gridSpan w:val="4"/>
          </w:tcPr>
          <w:p>
            <w:pPr>
              <w:jc w:val="center"/>
              <w:ind w:right="263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72"/>
        </w:trPr>
        <w:tc>
          <w:tcPr>
            <w:tcW w:w="3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spacing w:after="0"/>
              <w:rPr>
                <w:sz w:val="14"/>
                <w:szCs w:val="14"/>
                <w:color w:val="auto"/>
              </w:rPr>
            </w:pPr>
          </w:p>
        </w:tc>
        <w:tc>
          <w:tcPr>
            <w:tcW w:w="3900" w:type="dxa"/>
            <w:vAlign w:val="bottom"/>
            <w:tcBorders>
              <w:bottom w:val="single" w:sz="8" w:color="auto"/>
            </w:tcBorders>
          </w:tcPr>
          <w:p>
            <w:pPr>
              <w:spacing w:after="0"/>
              <w:rPr>
                <w:sz w:val="14"/>
                <w:szCs w:val="14"/>
                <w:color w:val="auto"/>
              </w:rPr>
            </w:pP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r>
      <w:tr>
        <w:trPr>
          <w:trHeight w:val="200"/>
        </w:trPr>
        <w:tc>
          <w:tcPr>
            <w:tcW w:w="3580" w:type="dxa"/>
            <w:vAlign w:val="bottom"/>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60" w:type="dxa"/>
            <w:vAlign w:val="bottom"/>
          </w:tcPr>
          <w:p>
            <w:pPr>
              <w:spacing w:after="0"/>
              <w:rPr>
                <w:sz w:val="17"/>
                <w:szCs w:val="17"/>
                <w:color w:val="auto"/>
              </w:rPr>
            </w:pPr>
          </w:p>
        </w:tc>
        <w:tc>
          <w:tcPr>
            <w:tcW w:w="39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5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18"/>
        </w:trPr>
        <w:tc>
          <w:tcPr>
            <w:tcW w:w="3580" w:type="dxa"/>
            <w:vAlign w:val="bottom"/>
          </w:tcPr>
          <w:p>
            <w:pPr>
              <w:jc w:val="center"/>
              <w:ind w:left="396"/>
              <w:spacing w:after="0"/>
              <w:rPr>
                <w:sz w:val="20"/>
                <w:szCs w:val="20"/>
                <w:color w:val="auto"/>
              </w:rPr>
            </w:pPr>
            <w:r>
              <w:rPr>
                <w:rFonts w:ascii="Times New Roman" w:cs="Times New Roman" w:eastAsia="Times New Roman" w:hAnsi="Times New Roman"/>
                <w:sz w:val="18"/>
                <w:szCs w:val="18"/>
                <w:color w:val="auto"/>
                <w:w w:val="99"/>
              </w:rPr>
              <w:t>Common Shares, Without Par Value</w:t>
            </w:r>
          </w:p>
        </w:tc>
        <w:tc>
          <w:tcPr>
            <w:tcW w:w="5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ABT</w:t>
            </w:r>
          </w:p>
        </w:tc>
        <w:tc>
          <w:tcPr>
            <w:tcW w:w="160" w:type="dxa"/>
            <w:vAlign w:val="bottom"/>
          </w:tcPr>
          <w:p>
            <w:pPr>
              <w:spacing w:after="0"/>
              <w:rPr>
                <w:sz w:val="18"/>
                <w:szCs w:val="18"/>
                <w:color w:val="auto"/>
              </w:rPr>
            </w:pPr>
          </w:p>
        </w:tc>
        <w:tc>
          <w:tcPr>
            <w:tcW w:w="390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5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7"/>
              </w:rPr>
              <w:t>NYSE Texas</w:t>
            </w:r>
          </w:p>
        </w:tc>
      </w:tr>
      <w:tr>
        <w:trPr>
          <w:trHeight w:val="27"/>
        </w:trPr>
        <w:tc>
          <w:tcPr>
            <w:tcW w:w="35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r>
    </w:tbl>
    <w:p>
      <w:pPr>
        <w:spacing w:after="0" w:line="184"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(l) has filed all reports required to be filed by Section 13 or 15(d) of the Securities Exchange Act of l934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337" w:right="419" w:bottom="1440" w:gutter="0" w:footer="0" w:header="0"/>
        </w:sectPr>
      </w:pPr>
    </w:p>
    <w:p>
      <w:pPr>
        <w:spacing w:after="0" w:line="108"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Wingdings" w:cs="Wingdings" w:eastAsia="Wingdings" w:hAnsi="Wingdings"/>
          <w:sz w:val="17"/>
          <w:szCs w:val="17"/>
          <w:b w:val="1"/>
          <w:bCs w:val="1"/>
          <w:color w:val="auto"/>
        </w:rPr>
        <w:t>o</w:t>
      </w:r>
    </w:p>
    <w:p>
      <w:pPr>
        <w:spacing w:after="0" w:line="211" w:lineRule="exact"/>
        <w:rPr>
          <w:sz w:val="24"/>
          <w:szCs w:val="24"/>
          <w:color w:val="auto"/>
        </w:rPr>
      </w:pPr>
    </w:p>
    <w:p>
      <w:pPr>
        <w:sectPr>
          <w:pgSz w:w="11900" w:h="16838" w:orient="portrait"/>
          <w:cols w:equalWidth="0" w:num="2">
            <w:col w:w="6280" w:space="720"/>
            <w:col w:w="4160"/>
          </w:cols>
          <w:pgMar w:left="320" w:top="337" w:right="419" w:bottom="1440" w:gutter="0" w:footer="0" w:header="0"/>
          <w:type w:val="continuous"/>
        </w:sectPr>
      </w:pPr>
    </w:p>
    <w:p>
      <w:pPr>
        <w:spacing w:after="0" w:line="7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 xml:space="preserve">Non-Accelerated Filer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2">
            <w:col w:w="5920" w:space="720"/>
            <w:col w:w="4520"/>
          </w:cols>
          <w:pgMar w:left="320" w:top="337" w:right="419" w:bottom="1440" w:gutter="0" w:footer="0" w:header="0"/>
          <w:type w:val="continuous"/>
        </w:sectPr>
      </w:pPr>
    </w:p>
    <w:p>
      <w:pPr>
        <w:spacing w:after="0" w:line="79" w:lineRule="exact"/>
        <w:rPr>
          <w:sz w:val="24"/>
          <w:szCs w:val="24"/>
          <w:color w:val="auto"/>
        </w:rPr>
      </w:pPr>
    </w:p>
    <w:p>
      <w:pPr>
        <w:ind w:left="66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o</w:t>
      </w:r>
    </w:p>
    <w:p>
      <w:pPr>
        <w:sectPr>
          <w:pgSz w:w="11900" w:h="16838" w:orient="portrait"/>
          <w:cols w:equalWidth="0" w:num="1">
            <w:col w:w="11160"/>
          </w:cols>
          <w:pgMar w:left="320" w:top="337" w:right="419" w:bottom="1440" w:gutter="0" w:footer="0" w:header="0"/>
          <w:type w:val="continuous"/>
        </w:sectPr>
      </w:pPr>
    </w:p>
    <w:p>
      <w:pPr>
        <w:spacing w:after="0" w:line="210"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ind w:right="1960"/>
        <w:spacing w:after="0" w:line="40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September 30, 2025, Abbott Laboratories had 1,738,871,947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7"/>
        </w:trPr>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Abbott Laboratories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7500" w:type="dxa"/>
            <w:vAlign w:val="bottom"/>
            <w:gridSpan w:val="10"/>
          </w:tcPr>
          <w:p>
            <w:pPr>
              <w:spacing w:after="0"/>
              <w:rPr>
                <w:sz w:val="24"/>
                <w:szCs w:val="24"/>
                <w:color w:val="auto"/>
              </w:rPr>
            </w:pPr>
          </w:p>
        </w:tc>
        <w:tc>
          <w:tcPr>
            <w:tcW w:w="14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2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Item 1. Financial Statements and Supplementary Data</w:t>
            </w:r>
          </w:p>
        </w:tc>
        <w:tc>
          <w:tcPr>
            <w:tcW w:w="14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20" w:type="dxa"/>
            <w:vAlign w:val="bottom"/>
            <w:gridSpan w:val="17"/>
            <w:vMerge w:val="continue"/>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Earnings</w:t>
            </w:r>
          </w:p>
        </w:tc>
        <w:tc>
          <w:tcPr>
            <w:tcW w:w="5880" w:type="dxa"/>
            <w:vAlign w:val="bottom"/>
            <w:gridSpan w:val="7"/>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 of Comprehensive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w:t>
            </w:r>
          </w:p>
        </w:tc>
        <w:tc>
          <w:tcPr>
            <w:tcW w:w="1640" w:type="dxa"/>
            <w:vAlign w:val="bottom"/>
            <w:tcBorders>
              <w:top w:val="single" w:sz="8" w:color="0000FF"/>
            </w:tcBorders>
            <w:gridSpan w:val="6"/>
          </w:tcPr>
          <w:p>
            <w:pPr>
              <w:spacing w:after="0"/>
              <w:rPr>
                <w:sz w:val="18"/>
                <w:szCs w:val="18"/>
                <w:color w:val="auto"/>
              </w:rPr>
            </w:pPr>
          </w:p>
        </w:tc>
        <w:tc>
          <w:tcPr>
            <w:tcW w:w="4820" w:type="dxa"/>
            <w:vAlign w:val="bottom"/>
            <w:gridSpan w:val="3"/>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Shareholders’ Investment</w:t>
            </w:r>
          </w:p>
        </w:tc>
        <w:tc>
          <w:tcPr>
            <w:tcW w:w="4680" w:type="dxa"/>
            <w:vAlign w:val="bottom"/>
            <w:gridSpan w:val="2"/>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w:t>
            </w:r>
          </w:p>
        </w:tc>
        <w:tc>
          <w:tcPr>
            <w:tcW w:w="5680" w:type="dxa"/>
            <w:vAlign w:val="bottom"/>
            <w:gridSpan w:val="6"/>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7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8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3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500" w:type="dxa"/>
            <w:vAlign w:val="bottom"/>
            <w:gridSpan w:val="10"/>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9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220" w:type="dxa"/>
            <w:vAlign w:val="bottom"/>
            <w:tcBorders>
              <w:top w:val="single" w:sz="8" w:color="0000FF"/>
            </w:tcBorders>
          </w:tcPr>
          <w:p>
            <w:pPr>
              <w:spacing w:after="0"/>
              <w:rPr>
                <w:sz w:val="24"/>
                <w:szCs w:val="24"/>
                <w:color w:val="auto"/>
              </w:rPr>
            </w:pPr>
          </w:p>
        </w:tc>
        <w:tc>
          <w:tcPr>
            <w:tcW w:w="7700" w:type="dxa"/>
            <w:vAlign w:val="bottom"/>
            <w:gridSpan w:val="11"/>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9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4920" w:type="dxa"/>
            <w:vAlign w:val="bottom"/>
            <w:gridSpan w:val="4"/>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460" w:type="dxa"/>
            <w:vAlign w:val="bottom"/>
            <w:tcBorders>
              <w:top w:val="single" w:sz="8" w:color="0000FF"/>
            </w:tcBorders>
          </w:tcPr>
          <w:p>
            <w:pPr>
              <w:spacing w:after="0"/>
              <w:rPr>
                <w:sz w:val="24"/>
                <w:szCs w:val="24"/>
                <w:color w:val="auto"/>
              </w:rPr>
            </w:pPr>
          </w:p>
        </w:tc>
        <w:tc>
          <w:tcPr>
            <w:tcW w:w="8660" w:type="dxa"/>
            <w:vAlign w:val="bottom"/>
            <w:gridSpan w:val="14"/>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7040" w:type="dxa"/>
            <w:vAlign w:val="bottom"/>
            <w:gridSpan w:val="17"/>
          </w:tcPr>
          <w:p>
            <w:pPr>
              <w:jc w:val="right"/>
              <w:ind w:right="1380"/>
              <w:spacing w:after="0"/>
              <w:rPr>
                <w:sz w:val="20"/>
                <w:szCs w:val="20"/>
                <w:color w:val="auto"/>
              </w:rPr>
            </w:pPr>
            <w:r>
              <w:rPr>
                <w:rFonts w:ascii="Times New Roman" w:cs="Times New Roman" w:eastAsia="Times New Roman" w:hAnsi="Times New Roman"/>
                <w:sz w:val="18"/>
                <w:szCs w:val="18"/>
                <w:color w:val="auto"/>
              </w:rPr>
              <w:t>2</w:t>
            </w:r>
          </w:p>
        </w:tc>
        <w:tc>
          <w:tcPr>
            <w:tcW w:w="2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millions except per share data; shares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2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30,976</w:t>
            </w: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 excluding amortization of intangible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cost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Earnings before taxes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6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Number of Common Shares Outstanding Used for Basic Earnings Per</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1,742,142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1,739,466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1,741,617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1,740,869</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Common Stock Options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0" w:type="dxa"/>
            <w:vAlign w:val="bottom"/>
          </w:tcPr>
          <w:p>
            <w:pPr>
              <w:spacing w:after="0"/>
              <w:rPr>
                <w:sz w:val="1"/>
                <w:szCs w:val="1"/>
                <w:color w:val="auto"/>
              </w:rPr>
            </w:pPr>
          </w:p>
        </w:tc>
      </w:tr>
      <w:tr>
        <w:trPr>
          <w:trHeight w:val="155"/>
        </w:trPr>
        <w:tc>
          <w:tcPr>
            <w:tcW w:w="60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Average Number of Common Shares Outstanding Plus Dilutive Common Stock</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1,749,361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1,747,597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1,749,161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1,749,434</w:t>
            </w:r>
          </w:p>
        </w:tc>
        <w:tc>
          <w:tcPr>
            <w:tcW w:w="0" w:type="dxa"/>
            <w:vAlign w:val="bottom"/>
          </w:tcPr>
          <w:p>
            <w:pPr>
              <w:spacing w:after="0"/>
              <w:rPr>
                <w:sz w:val="1"/>
                <w:szCs w:val="1"/>
                <w:color w:val="auto"/>
              </w:rPr>
            </w:pPr>
          </w:p>
        </w:tc>
      </w:tr>
      <w:tr>
        <w:trPr>
          <w:trHeight w:val="236"/>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Common Stock Options Having No Dilutive Effect</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millions)</w:t>
      </w:r>
    </w:p>
    <w:p>
      <w:pPr>
        <w:spacing w:after="0" w:line="241" w:lineRule="exact"/>
        <w:rPr>
          <w:sz w:val="20"/>
          <w:szCs w:val="20"/>
          <w:color w:val="auto"/>
        </w:rPr>
      </w:pPr>
    </w:p>
    <w:tbl>
      <w:tblPr>
        <w:tblLayout w:type="fixed"/>
        <w:tblInd w:w="5980" w:type="dxa"/>
        <w:tblCellMar>
          <w:top w:w="0" w:type="dxa"/>
          <w:left w:w="0" w:type="dxa"/>
          <w:bottom w:w="0" w:type="dxa"/>
          <w:right w:w="0" w:type="dxa"/>
        </w:tblCellMar>
      </w:tblPr>
      <w:tr>
        <w:trPr>
          <w:trHeight w:val="190"/>
        </w:trPr>
        <w:tc>
          <w:tcPr>
            <w:tcW w:w="26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90"/>
        </w:trPr>
        <w:tc>
          <w:tcPr>
            <w:tcW w:w="82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1" w:lineRule="exact"/>
        <w:rPr>
          <w:sz w:val="20"/>
          <w:szCs w:val="20"/>
          <w:color w:val="auto"/>
        </w:rPr>
      </w:pPr>
    </w:p>
    <w:p>
      <w:pPr>
        <w:ind w:left="20"/>
        <w:spacing w:after="0"/>
        <w:tabs>
          <w:tab w:leader="none" w:pos="5980" w:val="left"/>
        </w:tabs>
        <w:rPr>
          <w:sz w:val="20"/>
          <w:szCs w:val="20"/>
          <w:color w:val="auto"/>
        </w:rPr>
      </w:pPr>
      <w:r>
        <w:rPr>
          <w:rFonts w:ascii="Times New Roman" w:cs="Times New Roman" w:eastAsia="Times New Roman" w:hAnsi="Times New Roman"/>
          <w:sz w:val="18"/>
          <w:szCs w:val="18"/>
          <w:color w:val="auto"/>
        </w:rPr>
        <w:t>Net Earnings</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0" w:right="260"/>
        <w:spacing w:after="0" w:line="234" w:lineRule="auto"/>
        <w:rPr>
          <w:sz w:val="20"/>
          <w:szCs w:val="20"/>
          <w:color w:val="auto"/>
        </w:rPr>
      </w:pPr>
      <w:r>
        <w:rPr>
          <w:rFonts w:ascii="Times New Roman" w:cs="Times New Roman" w:eastAsia="Times New Roman" w:hAnsi="Times New Roman"/>
          <w:sz w:val="18"/>
          <w:szCs w:val="18"/>
          <w:color w:val="auto"/>
        </w:rPr>
        <w:t>Foreign currency translation gain (loss) adjustments, net of taxes of $(6) and $52 in 2025 and $— and $—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actuarial gains (losses) and amortization of net actuarial losses and prior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service costs and credits, net of taxes of $—and $— in 2025 and $— and $1 in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2024</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gains (losses) for derivative instruments designated as cash flow hedges, net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 taxes of $8 and $(101) in 2025 and $(63) and $(6) in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1,644</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398"/>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702"/>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84"/>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-1017905</wp:posOffset>
            </wp:positionV>
            <wp:extent cx="788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100" w:space="660"/>
            <w:col w:w="44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0"/>
        </w:trPr>
        <w:tc>
          <w:tcPr>
            <w:tcW w:w="5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66"/>
        </w:trPr>
        <w:tc>
          <w:tcPr>
            <w:tcW w:w="5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9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Accumulated Other Comprehensive Income (Loss) Information, net of tax:</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foreign currency translation (loss) adjustments</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(losses) and prior service (costs) and credits</w:t>
            </w: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3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Cumulative gains (losses) on derivative instruments designated as cash flow hedges</w:t>
            </w:r>
          </w:p>
        </w:tc>
        <w:tc>
          <w:tcPr>
            <w:tcW w:w="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7,616</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less allowances of $490 in 2025 and $439 in 2024</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6,925</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Materials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r>
      <w:tr>
        <w:trPr>
          <w:trHeight w:val="207"/>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6,194</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receivables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r>
      <w:tr>
        <w:trPr>
          <w:trHeight w:val="207"/>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24,839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23,656</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r>
      <w:tr>
        <w:trPr>
          <w:trHeight w:val="20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at cost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22,740</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12,082</w:t>
            </w:r>
          </w:p>
        </w:tc>
      </w:tr>
      <w:tr>
        <w:trPr>
          <w:trHeight w:val="207"/>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property and equipment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10,658</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 of amortization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23,108</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16,459</w:t>
            </w:r>
          </w:p>
        </w:tc>
      </w:tr>
      <w:tr>
        <w:trPr>
          <w:trHeight w:val="210"/>
        </w:trPr>
        <w:tc>
          <w:tcPr>
            <w:tcW w:w="81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84,181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81,414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Shareholders’ Investment</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wages and commissions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5,143</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payable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14,157</w:t>
            </w:r>
          </w:p>
        </w:tc>
      </w:tr>
      <w:tr>
        <w:trPr>
          <w:trHeight w:val="20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12,625</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Post-employment obligations, deferred income taxes and other long-term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6,731</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Investment: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shares, one dollar par value Authorized — 1,000,000 shares, none issued</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shares, without par value Authorized — 2,400,000,000 shares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Issued at stated capital amount — Shares: 2025: 1,996,743,794; 2024: 1,991,472,630</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25,153</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shares held in treasury, at cost — Shares: 2025: 257,871,122; 2024: 259,774,639</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(16,844)</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Earnings employed in the business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47,261</w:t>
            </w: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(7,906)</w:t>
            </w:r>
          </w:p>
        </w:tc>
      </w:tr>
      <w:tr>
        <w:trPr>
          <w:trHeight w:val="21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Abbott Shareholders’ Investment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47,664</w:t>
            </w: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Shareholders’ Investment</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47,901</w:t>
            </w:r>
          </w:p>
        </w:tc>
      </w:tr>
      <w:tr>
        <w:trPr>
          <w:trHeight w:val="210"/>
        </w:trPr>
        <w:tc>
          <w:tcPr>
            <w:tcW w:w="81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84,181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81,414</w:t>
            </w:r>
          </w:p>
        </w:tc>
      </w:tr>
      <w:tr>
        <w:trPr>
          <w:trHeight w:val="23"/>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condensed consolidated financial statements are an integral part of this statement.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 of Shareholders’ Investment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shares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2025: 1,996,448,469; 2024: 1,990,029,292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under incentive stock programs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2025: 295,325; 2024: 1,022,122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stock awards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2025: 1,996,743,794; 2024: 1,991,051,414</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Held in Treasury: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2025: 255,988,730; 2024: 250,131,563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under incentive stock programs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2025: 543,100; 2024: 545,287</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2025: 2,425,492; 2024: 7,009,200</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2025: 257,871,122; 2024: 256,595,476</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Employed in the Business: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on common shares (per share — 2025: $0.59; 2024: $0.55)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common and treasury share transactions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 in Subsidiaries: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 share of income, net of distributions and share repurchases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 of Shareholders’ Investment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shares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2025:1,991,472,630; 2024: 1,987,883,852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under incentive stock programs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2025: 5,271,164; 2024: 3,167,562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stock awards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2025: 1,996,743,794; 2024: 1,991,051,414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Held in Treasury: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2025: 259,774,639; 2024: 253,807,494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under incentive stock programs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2025: 4,514,000; 2024: 4,410,852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2025: 2,610,483; 2024: 7,198,834</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2025: 257,871,122; 2024: 256,595,476</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Employed in the Business: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on common shares (per share — 2025: $1.77; 2024: $1.65)</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common and treasury share transactions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 in Subsidiaries: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 share of income, net of distributions and share repurchases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Condensed Consolidated Statement of Cash Flows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(dollars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Pr>
          <w:p>
            <w:pPr>
              <w:spacing w:after="0"/>
              <w:rPr>
                <w:sz w:val="16"/>
                <w:szCs w:val="16"/>
                <w:color w:val="auto"/>
              </w:rPr>
            </w:pPr>
          </w:p>
        </w:tc>
      </w:tr>
      <w:tr>
        <w:trPr>
          <w:trHeight w:val="23"/>
        </w:trPr>
        <w:tc>
          <w:tcPr>
            <w:tcW w:w="7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77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(Used in) Operating Activities: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30"/>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tcPr>
          <w:p>
            <w:pPr>
              <w:spacing w:after="0"/>
              <w:rPr>
                <w:sz w:val="19"/>
                <w:szCs w:val="19"/>
                <w:color w:val="auto"/>
              </w:rPr>
            </w:pP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2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to net cash from operating activities —</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29"/>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3"/>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w:t>
            </w:r>
          </w:p>
        </w:tc>
      </w:tr>
      <w:tr>
        <w:trPr>
          <w:trHeight w:val="250"/>
        </w:trPr>
        <w:tc>
          <w:tcPr>
            <w:tcW w:w="77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From (Used in) Investing Activities: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2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of businesses and technologies, net of cash acquired</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business dispositions</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(purchases) of other investment securities, net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From (Used in) Investing Activities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50"/>
        </w:trPr>
        <w:tc>
          <w:tcPr>
            <w:tcW w:w="77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From (Used in) Financing Activities: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borrowings (repayments) of short-term debt and other</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common shares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From (Used in) Financing Activities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w:t>
            </w:r>
          </w:p>
        </w:tc>
      </w:tr>
      <w:tr>
        <w:trPr>
          <w:trHeight w:val="250"/>
        </w:trPr>
        <w:tc>
          <w:tcPr>
            <w:tcW w:w="77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77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4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pursuant to rules and regulations of the Securities and Exchange Commission and, therefore, do not include all information and footnote disclosures normally included in audited financial statements. However, in the opinion of management, all adjustments (which include only normal adjustments) necessary to present fairly the results of operations, financial position and cash flows have been made. It is suggested that these statements be read in conjunction with the financial statements included in Abbott’s Annual Report on Form 10-K for the year ended December 31, 2024. The condensed consolidated financial statements include the accounts of the parent company and subsidiaries, after elimination of intercompany transactions.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New Accounting Standards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280): Improvements to Reportable Segment Disclosures</w:t>
      </w:r>
      <w:r>
        <w:rPr>
          <w:rFonts w:ascii="Times New Roman" w:cs="Times New Roman" w:eastAsia="Times New Roman" w:hAnsi="Times New Roman"/>
          <w:sz w:val="18"/>
          <w:szCs w:val="18"/>
          <w:color w:val="auto"/>
        </w:rPr>
        <w:t>, which expands the breadth and frequency of required segment disclosures. The guidance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applied retrospectively to all periods presented in the financial statements. Abbott adopted the standard on January 1, 2024. The new standard did not have an impact on Abbott's consolidated financial statements, but required additional disclosures, retrospectively applied to all periods presented in Note 14 — Segment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Standards Not Yet Adopted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(Subtopic 220-40):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an entity to disclose on an annual and interim basis, disaggregated information about specific income statement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The guidance should be applied prospectively with the option to apply the standard retrospectively. The standard becomes effective for Abbott for full year 2027 reporting. Abbott is currently evaluating the impact of this new standard on its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an entity to disclose annually additional information related to the company's income tax rate reconciliation and income taxes paid during the period. The guidance should be applied prospectively with the option to apply the standard retrospectively. The standard becomes effective for Abbott for full year 2025 reporting. Abbott is currently evaluating the impact of this new standard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Revenue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Abbott’s revenues are derived primarily from the sale of a broad line of healthcare products under short-term receivable arrangements. Abbott has four reportable segments: Established Pharmaceutical Products, Nutritional Products, Diagnostic Products, and Medical Devices.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detail by sales category: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00" w:type="dxa"/>
            <w:vAlign w:val="bottom"/>
          </w:tcPr>
          <w:p>
            <w:pPr>
              <w:spacing w:after="0"/>
              <w:rPr>
                <w:sz w:val="16"/>
                <w:szCs w:val="16"/>
                <w:color w:val="auto"/>
              </w:rPr>
            </w:pPr>
          </w:p>
        </w:tc>
        <w:tc>
          <w:tcPr>
            <w:tcW w:w="3540" w:type="dxa"/>
            <w:vAlign w:val="bottom"/>
            <w:gridSpan w:val="7"/>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23"/>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Int’l</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Int’l</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Established Pharmaceutical Products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Key Emerging Markets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Nutritional Products —</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Pediatric Nutritionals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Adult Nutritionals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Diagnostic Products —</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Core Laboratory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Molecular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3"/>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Point of Care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Rapid Diagnostics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Medical Devices —</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Rhythm Management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Electrophysiology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13"/>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Heart Failure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Vascular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13"/>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Structural Heart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Neuromodulation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Diabetes Care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0" w:type="dxa"/>
            <w:vAlign w:val="bottom"/>
          </w:tcPr>
          <w:p>
            <w:pPr>
              <w:spacing w:after="0"/>
              <w:rPr>
                <w:sz w:val="1"/>
                <w:szCs w:val="1"/>
                <w:color w:val="auto"/>
              </w:rPr>
            </w:pPr>
          </w:p>
        </w:tc>
      </w:tr>
      <w:tr>
        <w:trPr>
          <w:trHeight w:val="212"/>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Revenue (Continued)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4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00" w:type="dxa"/>
            <w:vAlign w:val="bottom"/>
          </w:tcPr>
          <w:p>
            <w:pPr>
              <w:spacing w:after="0"/>
              <w:rPr>
                <w:sz w:val="16"/>
                <w:szCs w:val="16"/>
                <w:color w:val="auto"/>
              </w:rPr>
            </w:pPr>
          </w:p>
        </w:tc>
        <w:tc>
          <w:tcPr>
            <w:tcW w:w="3540" w:type="dxa"/>
            <w:vAlign w:val="bottom"/>
            <w:gridSpan w:val="7"/>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23"/>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80" w:type="dxa"/>
            <w:vAlign w:val="bottom"/>
            <w:gridSpan w:val="2"/>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Int’l</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Int’l</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Established Pharmaceutical Products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Key Emerging Markets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3,121</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20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3,926</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3,926</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Nutritional Products —</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Pediatric Nutritionals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Adult Nutritionals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0" w:type="dxa"/>
            <w:vAlign w:val="bottom"/>
          </w:tcPr>
          <w:p>
            <w:pPr>
              <w:spacing w:after="0"/>
              <w:rPr>
                <w:sz w:val="1"/>
                <w:szCs w:val="1"/>
                <w:color w:val="auto"/>
              </w:rPr>
            </w:pPr>
          </w:p>
        </w:tc>
      </w:tr>
      <w:tr>
        <w:trPr>
          <w:trHeight w:val="20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Diagnostic Products —</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Core Laboratory</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Molecular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3"/>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Point of Care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Rapid Diagnostics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0" w:type="dxa"/>
            <w:vAlign w:val="bottom"/>
          </w:tcPr>
          <w:p>
            <w:pPr>
              <w:spacing w:after="0"/>
              <w:rPr>
                <w:sz w:val="1"/>
                <w:szCs w:val="1"/>
                <w:color w:val="auto"/>
              </w:rPr>
            </w:pPr>
          </w:p>
        </w:tc>
      </w:tr>
      <w:tr>
        <w:trPr>
          <w:trHeight w:val="20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Medical Devices —</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Rhythm Management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Electrophysiology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0" w:type="dxa"/>
            <w:vAlign w:val="bottom"/>
          </w:tcPr>
          <w:p>
            <w:pPr>
              <w:spacing w:after="0"/>
              <w:rPr>
                <w:sz w:val="1"/>
                <w:szCs w:val="1"/>
                <w:color w:val="auto"/>
              </w:rPr>
            </w:pPr>
          </w:p>
        </w:tc>
      </w:tr>
      <w:tr>
        <w:trPr>
          <w:trHeight w:val="213"/>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Heart Failure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Vascular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0" w:type="dxa"/>
            <w:vAlign w:val="bottom"/>
          </w:tcPr>
          <w:p>
            <w:pPr>
              <w:spacing w:after="0"/>
              <w:rPr>
                <w:sz w:val="1"/>
                <w:szCs w:val="1"/>
                <w:color w:val="auto"/>
              </w:rPr>
            </w:pPr>
          </w:p>
        </w:tc>
      </w:tr>
      <w:tr>
        <w:trPr>
          <w:trHeight w:val="213"/>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Structural Heart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Neuromodulation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Diabetes Care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4,942</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13,934</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7"/>
        </w:trPr>
        <w:tc>
          <w:tcPr>
            <w:tcW w:w="3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Products sold by the Diagnostics segment include various types of diagnostic tests to detect the COVID-19 coronavirus. In the third quarter of 2025 and 2024, COVID-19 testing-related sales totaled $69 million and $265 million, respectively. In the first nine months of 2025 and 2024, Abbott’s COVID-19 testing-related sales totaled $208 million and $571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Revenue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the estimated revenue expected to be recognized in the future related to performance obligations that are unsatisfied (or partially unsatisfied) was $6.0 billion in the Diagnostic Products segment and $436 million in the Medical Devices segment. Abbott expects to recognize revenue on approximately 54 percent of these remaining performance obligations over the next 24 months, approximately 17 percent over the subsequent 12 months and the remainder thereafter.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performance obligations primarily reflect the future sale of reagents/consumables in contracts with minimum purchase obligations, extended warranty or service obligations related to previously sold equipment, and remote monitoring services related to previously implanted devices. Abbott has applied the practical expedient described in FASB Accounting Standards Codification (ASC) 606-10-50-14 and has not included remaining performance obligations related to contracts with original expected durations of one year or less in the amounts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Contract Assets and Liabilities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discloses Trade receivables separately in the Condensed Consolidated Balance Sheet at the net amount expected to be collected. Contract assets primarily relate to Abbott’s conditional right to consideration for work completed but not billed at the reporting date. Contract assets at the beginning and the end of the period, as well as the changes in the balance, were not significant.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primarily relate to payments received from customers in advance of performance under the contract. Abbott’s contract liabilities arise primarily in the Medical Devices segment when payment is received upfront for various multi-period extended service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contract liabilities during the period are as follows:</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 Liabilities: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568</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from cash received during the period</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382</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contract liability balance</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(300)</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650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Supplemental Financial Information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unvested restricted stock that contain non-forfeitable rights to dividends are treated as participating securities and are included in the computation of earnings per share under the two-class method. Under the two-class method, net earnings are allocated between common shares and participating securities. Net earnings allocated to common shares for the three months ended September 30, 2025, and 2024, were $1.6 billion and for the nine months ended September 30, 2025, and 2024, were $4.7 billion and $4.2 billion, respectively.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2024, Abbott sold a non-core business related to its Established Pharmaceutical Products segment. Abbott recorded a loss of $143 million on the sale in Other (income) expense, net in its Condensed Consolidated Statement of Earnings. Net assets, which primarily related to inventory and net property and equipment and had a carrying value of $28 million, were included in the sale. The loss on the sale also included $116 million of cumulative foreign currency translation adjustment previously recorded in Accumulated other comprehensive income (loss),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Supplemental Financial Information (Continued)</w:t>
      </w:r>
    </w:p>
    <w:p>
      <w:pPr>
        <w:spacing w:after="0" w:line="200" w:lineRule="exact"/>
        <w:rPr>
          <w:sz w:val="20"/>
          <w:szCs w:val="20"/>
          <w:color w:val="auto"/>
        </w:r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net in Net Cash From Operating Activities in the Condensed Consolidated Statement of Cash Flows for the first nine months of 2025 includes $256 million of pension contributions and the payment of cash taxes of $1.5 billion. The first nine months of 2024 included $298 million of pension contributions and the payment of cash taxes of $1.2 billion.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for the first nine months of 2025 related to the allowance for doubtful accounts as of September 30, 2025:</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Provisions/charges to income</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charged off and other deductions</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Doubtful Accounts reflects the current estimate of credit losses expected to be incurred over the life of the accounts receivable. Abbott considers various factors in establishing, monitoring, and adjusting its allowance for doubtful accounts, including the aging of the accounts and aging trends, the historical level of charge-offs, and specific exposures related to particular customers. Abbott also monitors other risk factors and forward-looking information, such as country risk, when determining credit limits for customers and establishing adequate allowances.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long-term investments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Abbott’s Long-term Investments as of September 30, 2025, versus the balance as of December 31, 2024, primarily relates to additional investments and earnings from equity method investments, partially offset by the impairment of certain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Abbott’s equity securities as of September 30, 2025, include $325 million of investments in mutual funds that are held in a rabbi trust. These investments, which are specifically designated as available for the purpose of paying benefits under a deferred compensation plan, are not available for general corporate purposes and are subject to creditor claims in the event of insolvency.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 also holds certain investments as of September 30, 2025, with a carrying value of $163 million that are accounted for under the equity method of accounting and other equity investments with a carrying value of $118 million that do not have a readily determinable fair value.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Changes In Accumulated Other Comprehensive Income (Loss)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net of tax,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6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40" w:type="dxa"/>
            <w:vAlign w:val="bottom"/>
          </w:tcPr>
          <w:p>
            <w:pPr>
              <w:spacing w:after="0"/>
              <w:rPr>
                <w:sz w:val="11"/>
                <w:szCs w:val="11"/>
                <w:color w:val="auto"/>
              </w:rPr>
            </w:pPr>
          </w:p>
        </w:tc>
        <w:tc>
          <w:tcPr>
            <w:tcW w:w="250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Actuarial (Losses) and</w:t>
            </w:r>
          </w:p>
        </w:tc>
        <w:tc>
          <w:tcPr>
            <w:tcW w:w="280" w:type="dxa"/>
            <w:vAlign w:val="bottom"/>
          </w:tcPr>
          <w:p>
            <w:pPr>
              <w:spacing w:after="0"/>
              <w:rPr>
                <w:sz w:val="11"/>
                <w:szCs w:val="11"/>
                <w:color w:val="auto"/>
              </w:rPr>
            </w:pPr>
          </w:p>
        </w:tc>
        <w:tc>
          <w:tcPr>
            <w:tcW w:w="2280" w:type="dxa"/>
            <w:vAlign w:val="bottom"/>
            <w:gridSpan w:val="4"/>
          </w:tcPr>
          <w:p>
            <w:pPr>
              <w:jc w:val="center"/>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Cumulative Gains (Losses)</w:t>
            </w:r>
          </w:p>
        </w:tc>
        <w:tc>
          <w:tcPr>
            <w:tcW w:w="0" w:type="dxa"/>
            <w:vAlign w:val="bottom"/>
          </w:tcPr>
          <w:p>
            <w:pPr>
              <w:spacing w:after="0"/>
              <w:rPr>
                <w:sz w:val="1"/>
                <w:szCs w:val="1"/>
                <w:color w:val="auto"/>
              </w:rPr>
            </w:pPr>
          </w:p>
        </w:tc>
      </w:tr>
      <w:tr>
        <w:trPr>
          <w:trHeight w:val="146"/>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gridSpan w:val="4"/>
          </w:tcPr>
          <w:p>
            <w:pPr>
              <w:jc w:val="center"/>
              <w:ind w:right="173"/>
              <w:spacing w:after="0" w:line="146" w:lineRule="exact"/>
              <w:rPr>
                <w:sz w:val="20"/>
                <w:szCs w:val="20"/>
                <w:color w:val="auto"/>
              </w:rPr>
            </w:pPr>
            <w:r>
              <w:rPr>
                <w:rFonts w:ascii="Times New Roman" w:cs="Times New Roman" w:eastAsia="Times New Roman" w:hAnsi="Times New Roman"/>
                <w:sz w:val="14"/>
                <w:szCs w:val="14"/>
                <w:b w:val="1"/>
                <w:bCs w:val="1"/>
                <w:color w:val="auto"/>
              </w:rPr>
              <w:t>on Derivative Instruments</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60" w:type="dxa"/>
            <w:vAlign w:val="bottom"/>
            <w:gridSpan w:val="5"/>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Currency Translation</w:t>
            </w:r>
          </w:p>
        </w:tc>
        <w:tc>
          <w:tcPr>
            <w:tcW w:w="140" w:type="dxa"/>
            <w:vAlign w:val="bottom"/>
          </w:tcPr>
          <w:p>
            <w:pPr>
              <w:spacing w:after="0"/>
              <w:rPr>
                <w:sz w:val="12"/>
                <w:szCs w:val="12"/>
                <w:color w:val="auto"/>
              </w:rPr>
            </w:pPr>
          </w:p>
        </w:tc>
        <w:tc>
          <w:tcPr>
            <w:tcW w:w="250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 (Costs) and</w:t>
            </w:r>
          </w:p>
        </w:tc>
        <w:tc>
          <w:tcPr>
            <w:tcW w:w="280" w:type="dxa"/>
            <w:vAlign w:val="bottom"/>
          </w:tcPr>
          <w:p>
            <w:pPr>
              <w:spacing w:after="0"/>
              <w:rPr>
                <w:sz w:val="12"/>
                <w:szCs w:val="12"/>
                <w:color w:val="auto"/>
              </w:rPr>
            </w:pPr>
          </w:p>
        </w:tc>
        <w:tc>
          <w:tcPr>
            <w:tcW w:w="2280" w:type="dxa"/>
            <w:vAlign w:val="bottom"/>
            <w:gridSpan w:val="4"/>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 Cash Flow</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 Adjustments</w:t>
            </w:r>
          </w:p>
        </w:tc>
        <w:tc>
          <w:tcPr>
            <w:tcW w:w="140" w:type="dxa"/>
            <w:vAlign w:val="bottom"/>
          </w:tcPr>
          <w:p>
            <w:pPr>
              <w:spacing w:after="0"/>
              <w:rPr>
                <w:sz w:val="17"/>
                <w:szCs w:val="17"/>
                <w:color w:val="auto"/>
              </w:rPr>
            </w:pPr>
          </w:p>
        </w:tc>
        <w:tc>
          <w:tcPr>
            <w:tcW w:w="152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w w:val="99"/>
              </w:rPr>
              <w:t>Credits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155"/>
        </w:trPr>
        <w:tc>
          <w:tcPr>
            <w:tcW w:w="34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75"/>
        </w:trPr>
        <w:tc>
          <w:tcPr>
            <w:tcW w:w="34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56"/>
        </w:trPr>
        <w:tc>
          <w:tcPr>
            <w:tcW w:w="34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Net current period comprehensive income</w:t>
            </w: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0"/>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6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40" w:type="dxa"/>
            <w:vAlign w:val="bottom"/>
          </w:tcPr>
          <w:p>
            <w:pPr>
              <w:spacing w:after="0"/>
              <w:rPr>
                <w:sz w:val="11"/>
                <w:szCs w:val="11"/>
                <w:color w:val="auto"/>
              </w:rPr>
            </w:pPr>
          </w:p>
        </w:tc>
        <w:tc>
          <w:tcPr>
            <w:tcW w:w="250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Actuarial (Losses) and</w:t>
            </w:r>
          </w:p>
        </w:tc>
        <w:tc>
          <w:tcPr>
            <w:tcW w:w="280" w:type="dxa"/>
            <w:vAlign w:val="bottom"/>
          </w:tcPr>
          <w:p>
            <w:pPr>
              <w:spacing w:after="0"/>
              <w:rPr>
                <w:sz w:val="11"/>
                <w:szCs w:val="11"/>
                <w:color w:val="auto"/>
              </w:rPr>
            </w:pPr>
          </w:p>
        </w:tc>
        <w:tc>
          <w:tcPr>
            <w:tcW w:w="2280" w:type="dxa"/>
            <w:vAlign w:val="bottom"/>
            <w:gridSpan w:val="4"/>
          </w:tcPr>
          <w:p>
            <w:pPr>
              <w:jc w:val="center"/>
              <w:ind w:right="193"/>
              <w:spacing w:after="0" w:line="129" w:lineRule="exact"/>
              <w:rPr>
                <w:sz w:val="20"/>
                <w:szCs w:val="20"/>
                <w:color w:val="auto"/>
              </w:rPr>
            </w:pPr>
            <w:r>
              <w:rPr>
                <w:rFonts w:ascii="Times New Roman" w:cs="Times New Roman" w:eastAsia="Times New Roman" w:hAnsi="Times New Roman"/>
                <w:sz w:val="14"/>
                <w:szCs w:val="14"/>
                <w:b w:val="1"/>
                <w:bCs w:val="1"/>
                <w:color w:val="auto"/>
              </w:rPr>
              <w:t>Cumulative Gains (Losses)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gridSpan w:val="4"/>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on Derivative Instruments</w:t>
            </w:r>
          </w:p>
        </w:tc>
        <w:tc>
          <w:tcPr>
            <w:tcW w:w="0" w:type="dxa"/>
            <w:vAlign w:val="bottom"/>
          </w:tcPr>
          <w:p>
            <w:pPr>
              <w:spacing w:after="0"/>
              <w:rPr>
                <w:sz w:val="1"/>
                <w:szCs w:val="1"/>
                <w:color w:val="auto"/>
              </w:rPr>
            </w:pPr>
          </w:p>
        </w:tc>
      </w:tr>
      <w:tr>
        <w:trPr>
          <w:trHeight w:val="137"/>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60" w:type="dxa"/>
            <w:vAlign w:val="bottom"/>
            <w:gridSpan w:val="5"/>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Currency Translation</w:t>
            </w:r>
          </w:p>
        </w:tc>
        <w:tc>
          <w:tcPr>
            <w:tcW w:w="140" w:type="dxa"/>
            <w:vAlign w:val="bottom"/>
          </w:tcPr>
          <w:p>
            <w:pPr>
              <w:spacing w:after="0"/>
              <w:rPr>
                <w:sz w:val="11"/>
                <w:szCs w:val="11"/>
                <w:color w:val="auto"/>
              </w:rPr>
            </w:pPr>
          </w:p>
        </w:tc>
        <w:tc>
          <w:tcPr>
            <w:tcW w:w="2500" w:type="dxa"/>
            <w:vAlign w:val="bottom"/>
            <w:gridSpan w:val="5"/>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Prior Service (Costs) and</w:t>
            </w:r>
          </w:p>
        </w:tc>
        <w:tc>
          <w:tcPr>
            <w:tcW w:w="280" w:type="dxa"/>
            <w:vAlign w:val="bottom"/>
          </w:tcPr>
          <w:p>
            <w:pPr>
              <w:spacing w:after="0"/>
              <w:rPr>
                <w:sz w:val="11"/>
                <w:szCs w:val="11"/>
                <w:color w:val="auto"/>
              </w:rPr>
            </w:pPr>
          </w:p>
        </w:tc>
        <w:tc>
          <w:tcPr>
            <w:tcW w:w="2280" w:type="dxa"/>
            <w:vAlign w:val="bottom"/>
            <w:gridSpan w:val="4"/>
          </w:tcPr>
          <w:p>
            <w:pPr>
              <w:jc w:val="center"/>
              <w:ind w:right="213"/>
              <w:spacing w:after="0" w:line="137" w:lineRule="exact"/>
              <w:rPr>
                <w:sz w:val="20"/>
                <w:szCs w:val="20"/>
                <w:color w:val="auto"/>
              </w:rPr>
            </w:pPr>
            <w:r>
              <w:rPr>
                <w:rFonts w:ascii="Times New Roman" w:cs="Times New Roman" w:eastAsia="Times New Roman" w:hAnsi="Times New Roman"/>
                <w:sz w:val="14"/>
                <w:szCs w:val="14"/>
                <w:b w:val="1"/>
                <w:bCs w:val="1"/>
                <w:color w:val="auto"/>
              </w:rPr>
              <w:t>Designated as Cash Flow</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 Adjustments</w:t>
            </w:r>
          </w:p>
        </w:tc>
        <w:tc>
          <w:tcPr>
            <w:tcW w:w="140" w:type="dxa"/>
            <w:vAlign w:val="bottom"/>
          </w:tcPr>
          <w:p>
            <w:pPr>
              <w:spacing w:after="0"/>
              <w:rPr>
                <w:sz w:val="16"/>
                <w:szCs w:val="16"/>
                <w:color w:val="auto"/>
              </w:rPr>
            </w:pPr>
          </w:p>
        </w:tc>
        <w:tc>
          <w:tcPr>
            <w:tcW w:w="152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w w:val="99"/>
              </w:rPr>
              <w:t>Credits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6"/>
        </w:trPr>
        <w:tc>
          <w:tcPr>
            <w:tcW w:w="34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5"/>
        </w:trPr>
        <w:tc>
          <w:tcPr>
            <w:tcW w:w="34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55"/>
        </w:trPr>
        <w:tc>
          <w:tcPr>
            <w:tcW w:w="34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Net current period comprehensive income</w:t>
            </w: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reclassification of $116 million out of Accumulated other comprehensive income (loss) in the nine months ended September 30, 2024, is included in the loss related to the sale of a non-core business included in Other (income) expense, net. Reclassified amounts for cash flow hedges are recorded as Cost of products sold. Net actuarial losses and prior service cost are included as a component of net periodic benefit costs; see Note 12 — Post-Employment Benefits for additional details.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Goodwill and Intangible Assets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amount of goodwill reported was $24.0 billion at September 30, 2025, and $23.1 billion at December 31, 2024. The amount of goodwill related to reportable segments at September 30, 2025, was $2.7 billion for the Established Pharmaceutical Products segment, $285 million for the Nutritional Products segment, $3.6 billion for the Diagnostic Products segment, and $17.4 billion for the Medical Devices segment. Foreign currency translation adjustments increased goodwill by $815 million in the first nine months of 2025. There were no reductions of goodwill relating to impairments in the first nine months of 2025.</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Goodwill and Intangible Assets (Continued)</w:t>
      </w:r>
    </w:p>
    <w:p>
      <w:pPr>
        <w:spacing w:after="0" w:line="3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gross amount of amortizable intangible assets, primarily product rights and technology, was $27.5 billion as of September 30, 2025, and $27.1 billion as of December 31, 2024. Accumulated amortization was $22.8 billion and $21.3 billion as of September 30, 2025, and December 31, 2024, respectively. In the first nine months of 2025, intangible assets, net of amortization, increased $76 million due to foreign currency translation. Abbott’s estimated annual amortization expense for intangible assets is approximately $1.7 billion in 2025, $1.5 billion in 2026, $1.2 billion in 2027, $0.7 billion in 2028 and $0.6 billion in 2029.</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Indefinite-lived intangible assets, which relate to in-process research and development (IPR&amp;D), were $894 million and $784 million as of September 30, 2025, and December 31, 2024,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Restructuring Plans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Abbott management approved plans to streamline operations in order to reduce costs and improve efficiencies in its diagnostic and medical devices businesses. In the nine months ended September 30, 2025, Abbott recorded employee related severance and other charges of $197 million, of which $100 million was recorded in Cost of products sold, $38 million was recorded in Research and development, and $59 million was recorded in Selling, general, and administrative. Payments related to these actions totaled $57 million in the first nine months of 2025 and the remaining liabilities totaled $140 million at September 30, 2025. In addition, in the first nine months of 2025, Abbott recognized asset impairment charges of $25 million related to these restructuring plans.</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2024 and 2023, Abbott management approved plans to restructure or streamline various operations in order to reduce costs in its medical devices, diagnostic, nutritional, and established pharmaceutical businesses, including the discontinuation of its ZonePerfect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in 2024. In addition, Abbott recognized asset impairment charges of $22 million related to these restructuring plans in the first nine months of 2024. The following summarizes the activity related to these restructuring actions and the status of the related accruals as of September 30,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at December 31, 2024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balance at September 30, 2025</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Incentive Stock Programs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nine months of 2025, Abbott granted 1,482,667 stock options, 364,498 restricted stock awards, and 4,397,394 restricted stock units under its incentive stock program. At September 30, 2025, 51 million shares were reserved for future grants. Information regarding the number of options outstanding and exercisable at September 30, 2025,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Exercisable</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22,690,333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19,485,032</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life </w:t>
            </w:r>
            <w:r>
              <w:rPr>
                <w:rFonts w:ascii="Times New Roman" w:cs="Times New Roman" w:eastAsia="Times New Roman" w:hAnsi="Times New Roman"/>
                <w:sz w:val="18"/>
                <w:szCs w:val="18"/>
                <w:i w:val="1"/>
                <w:iCs w:val="1"/>
                <w:color w:val="auto"/>
              </w:rPr>
              <w:t>(years)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w:t>
            </w: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Aggregate intrinsic value </w:t>
            </w:r>
            <w:r>
              <w:rPr>
                <w:rFonts w:ascii="Times New Roman" w:cs="Times New Roman" w:eastAsia="Times New Roman" w:hAnsi="Times New Roman"/>
                <w:sz w:val="18"/>
                <w:szCs w:val="18"/>
                <w:i w:val="1"/>
                <w:iCs w:val="1"/>
                <w:color w:val="auto"/>
              </w:rPr>
              <w:t>(in millions)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bl>
    <w:p>
      <w:pPr>
        <w:spacing w:after="0" w:line="29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total unrecognized share-based compensation cost at September 30, 2025, amounted to $577 million, which is expected to be recognized over the next three years.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Debt and Lines of Credit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15, 2025, Abbott repaid the $500 million outstanding principal amount of its 3.875% Notes upon maturity. On March 17, 2025, Abbott repaid the $1.0 billion outstanding principal amount of its 2.95% Notes upon maturity.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Financial Instruments, Derivatives and Fair Value Measures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Abbott foreign subsidiaries enter into foreign currency forward exchange contracts to manage exposures to changes in foreign exchange rates, primarily for anticipated intercompany purchases by those subsidiaries whose functional currencies are not the U.S. dollar. These contracts, with gross notional amounts totaling $7.2 billion at September 30, 2025, and $7.0 billion at December 31, 2024, are designated as cash flow hedges of the variability of the cash flows due to changes in foreign exchange rates and are recorded at fair value. Accumulated gains and losses as of September 30, 2025, will be included in Cost of products sold at the time the products are sold, generally through the next twelve to eighteen months.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 enters into foreign currency forward exchange contracts to manage currency exposures for foreign currency denominated third-party trade payables and receivables, and for intercompany loans and trade accounts payable where the receivable or payable is denominated in a currency other than the functional currency of the entity. For intercompany loans, the contracts require Abbott to sell or buy foreign currencies, primarily European currencies, in exchange for primarily U.S. dollars and other European currencies. For intercompany and trade payables and receivables, the currency exposures are primarily the U.S. dollar and European currencies. At September 30, 2025, and December 31, 2024, Abbott held the gross notional amounts of $12.7 billion and $16.2 billion, respectively, of such foreign currency forward exchange contracts.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has designated a yen-denominated, 5-year term loan of $619 million and $583 million as of September 30, 2025, and December 31, 2024, respectively, as a hedge of the net investment in certain foreign subsidiaries. The change in the value of the debt, which is due to changes in foreign exchange rates, is recorded in Accumulated other comprehensive income (loss), net of tax.</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Abbott is a party to interest rate hedge contracts with a notional amount totaling $1.2 billion at September 30, 2025, and $2.2 billion at December 31, 2024, to manage its exposure to changes in the fair value of fixed-rate debt. The decrease from December 31, 2024, was due to the maturity of $1.0 billion of interest rate hedge contracts in conjunction with long-term debt, both of which matured in March 2025. These contracts are designated as fair value hedges of the variability of the fair value of fixed-rate debt due to changes in the long-term benchmark interest rates. The effect of the hedge is to change a fixed-rate interest obligation to a variable rate for that portion of the debt. Abbott records the contracts at fair value and adjusts the carrying amount of the fixed-rate debt by an offsetting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Financial Instruments, Derivatives and Fair Value Measures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and location of certain derivative and non-derivative financial instruments as of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 Assets</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 Liabilities</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1"/>
                <w:szCs w:val="11"/>
                <w:color w:val="auto"/>
              </w:rPr>
            </w:pPr>
          </w:p>
        </w:tc>
        <w:tc>
          <w:tcPr>
            <w:tcW w:w="120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Balance Sheet Caption</w:t>
            </w:r>
          </w:p>
        </w:tc>
        <w:tc>
          <w:tcPr>
            <w:tcW w:w="140" w:type="dxa"/>
            <w:vAlign w:val="bottom"/>
          </w:tcPr>
          <w:p>
            <w:pPr>
              <w:spacing w:after="0"/>
              <w:rPr>
                <w:sz w:val="11"/>
                <w:szCs w:val="11"/>
                <w:color w:val="auto"/>
              </w:rPr>
            </w:pPr>
          </w:p>
        </w:tc>
        <w:tc>
          <w:tcPr>
            <w:tcW w:w="118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  Balance Sheet Caption</w:t>
            </w:r>
          </w:p>
        </w:tc>
        <w:tc>
          <w:tcPr>
            <w:tcW w:w="0" w:type="dxa"/>
            <w:vAlign w:val="bottom"/>
          </w:tcPr>
          <w:p>
            <w:pPr>
              <w:spacing w:after="0"/>
              <w:rPr>
                <w:sz w:val="1"/>
                <w:szCs w:val="1"/>
                <w:color w:val="auto"/>
              </w:rPr>
            </w:pPr>
          </w:p>
        </w:tc>
      </w:tr>
      <w:tr>
        <w:trPr>
          <w:trHeight w:val="195"/>
        </w:trPr>
        <w:tc>
          <w:tcPr>
            <w:tcW w:w="2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8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820" w:type="dxa"/>
            <w:vAlign w:val="bottom"/>
            <w:tcBorders>
              <w:top w:val="single" w:sz="8" w:color="auto"/>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Interest rate swaps designated as fair value</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hedges: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2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Non-current</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ind w:left="8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Deferred income</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4"/>
                <w:szCs w:val="14"/>
                <w:color w:val="auto"/>
              </w:rPr>
            </w:pPr>
          </w:p>
        </w:tc>
        <w:tc>
          <w:tcPr>
            <w:tcW w:w="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4"/>
                <w:szCs w:val="14"/>
                <w:color w:val="auto"/>
              </w:rPr>
            </w:pPr>
          </w:p>
        </w:tc>
        <w:tc>
          <w:tcPr>
            <w:tcW w:w="1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Post-employment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taxes and other assets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obligations, deferred</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taxes and</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long-term</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0" w:type="dxa"/>
            <w:vAlign w:val="bottom"/>
          </w:tcPr>
          <w:p>
            <w:pPr>
              <w:spacing w:after="0"/>
              <w:rPr>
                <w:sz w:val="1"/>
                <w:szCs w:val="1"/>
                <w:color w:val="auto"/>
              </w:rPr>
            </w:pPr>
          </w:p>
        </w:tc>
      </w:tr>
      <w:tr>
        <w:trPr>
          <w:trHeight w:val="165"/>
        </w:trPr>
        <w:tc>
          <w:tcPr>
            <w:tcW w:w="292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Current</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86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Prepaid expenses and</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line="165"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Other accrued</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0" w:type="dxa"/>
            <w:vAlign w:val="bottom"/>
          </w:tcPr>
          <w:p>
            <w:pPr>
              <w:spacing w:after="0"/>
              <w:rPr>
                <w:sz w:val="1"/>
                <w:szCs w:val="1"/>
                <w:color w:val="auto"/>
              </w:rPr>
            </w:pPr>
          </w:p>
        </w:tc>
      </w:tr>
      <w:tr>
        <w:trPr>
          <w:trHeight w:val="162"/>
        </w:trPr>
        <w:tc>
          <w:tcPr>
            <w:tcW w:w="29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 forward exchange</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contracts: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2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Hedging instruments</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ind w:left="860"/>
              <w:spacing w:after="0" w:line="165" w:lineRule="exact"/>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Prepaid expenses and</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
              <w:spacing w:after="0" w:line="165" w:lineRule="exact"/>
              <w:rPr>
                <w:sz w:val="20"/>
                <w:szCs w:val="20"/>
                <w:color w:val="auto"/>
              </w:rPr>
            </w:pPr>
            <w:r>
              <w:rPr>
                <w:rFonts w:ascii="Times New Roman" w:cs="Times New Roman" w:eastAsia="Times New Roman" w:hAnsi="Times New Roman"/>
                <w:sz w:val="16"/>
                <w:szCs w:val="16"/>
                <w:color w:val="auto"/>
              </w:rPr>
              <w:t>247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Other accrued</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0" w:type="dxa"/>
            <w:vAlign w:val="bottom"/>
          </w:tcPr>
          <w:p>
            <w:pPr>
              <w:spacing w:after="0"/>
              <w:rPr>
                <w:sz w:val="1"/>
                <w:szCs w:val="1"/>
                <w:color w:val="auto"/>
              </w:rPr>
            </w:pPr>
          </w:p>
        </w:tc>
      </w:tr>
      <w:tr>
        <w:trPr>
          <w:trHeight w:val="162"/>
        </w:trPr>
        <w:tc>
          <w:tcPr>
            <w:tcW w:w="292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Others not designated as hedges</w:t>
            </w:r>
          </w:p>
        </w:tc>
        <w:tc>
          <w:tcPr>
            <w:tcW w:w="120" w:type="dxa"/>
            <w:vAlign w:val="bottom"/>
          </w:tcPr>
          <w:p>
            <w:pPr>
              <w:spacing w:after="0"/>
              <w:rPr>
                <w:sz w:val="14"/>
                <w:szCs w:val="14"/>
                <w:color w:val="auto"/>
              </w:rPr>
            </w:pPr>
          </w:p>
        </w:tc>
        <w:tc>
          <w:tcPr>
            <w:tcW w:w="1100" w:type="dxa"/>
            <w:vAlign w:val="bottom"/>
          </w:tcPr>
          <w:p>
            <w:pPr>
              <w:ind w:left="860"/>
              <w:spacing w:after="0" w:line="162" w:lineRule="exact"/>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4"/>
                <w:szCs w:val="14"/>
                <w:color w:val="auto"/>
              </w:rPr>
            </w:pPr>
          </w:p>
        </w:tc>
        <w:tc>
          <w:tcPr>
            <w:tcW w:w="15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Prepaid expenses and</w:t>
            </w:r>
          </w:p>
        </w:tc>
        <w:tc>
          <w:tcPr>
            <w:tcW w:w="140" w:type="dxa"/>
            <w:vAlign w:val="bottom"/>
          </w:tcPr>
          <w:p>
            <w:pPr>
              <w:spacing w:after="0"/>
              <w:rPr>
                <w:sz w:val="14"/>
                <w:szCs w:val="14"/>
                <w:color w:val="auto"/>
              </w:rPr>
            </w:pPr>
          </w:p>
        </w:tc>
        <w:tc>
          <w:tcPr>
            <w:tcW w:w="1100" w:type="dxa"/>
            <w:vAlign w:val="bottom"/>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14"/>
                <w:szCs w:val="14"/>
                <w:color w:val="auto"/>
              </w:rPr>
            </w:pPr>
          </w:p>
        </w:tc>
        <w:tc>
          <w:tcPr>
            <w:tcW w:w="1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accrued</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0" w:type="dxa"/>
            <w:vAlign w:val="bottom"/>
          </w:tcPr>
          <w:p>
            <w:pPr>
              <w:spacing w:after="0"/>
              <w:rPr>
                <w:sz w:val="1"/>
                <w:szCs w:val="1"/>
                <w:color w:val="auto"/>
              </w:rPr>
            </w:pPr>
          </w:p>
        </w:tc>
      </w:tr>
      <w:tr>
        <w:trPr>
          <w:trHeight w:val="165"/>
        </w:trPr>
        <w:tc>
          <w:tcPr>
            <w:tcW w:w="29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Debt designated as a hedge of net</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86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n/a</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
              <w:spacing w:after="0" w:line="165" w:lineRule="exact"/>
              <w:rPr>
                <w:sz w:val="20"/>
                <w:szCs w:val="20"/>
                <w:color w:val="auto"/>
              </w:rPr>
            </w:pPr>
            <w:r>
              <w:rPr>
                <w:rFonts w:ascii="Times New Roman" w:cs="Times New Roman" w:eastAsia="Times New Roman" w:hAnsi="Times New Roman"/>
                <w:sz w:val="16"/>
                <w:szCs w:val="16"/>
                <w:color w:val="auto"/>
              </w:rPr>
              <w:t>619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583</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Long-term debt</w:t>
            </w:r>
          </w:p>
        </w:tc>
        <w:tc>
          <w:tcPr>
            <w:tcW w:w="0" w:type="dxa"/>
            <w:vAlign w:val="bottom"/>
          </w:tcPr>
          <w:p>
            <w:pPr>
              <w:spacing w:after="0"/>
              <w:rPr>
                <w:sz w:val="1"/>
                <w:szCs w:val="1"/>
                <w:color w:val="auto"/>
              </w:rPr>
            </w:pPr>
          </w:p>
        </w:tc>
      </w:tr>
      <w:tr>
        <w:trPr>
          <w:trHeight w:val="213"/>
        </w:trPr>
        <w:tc>
          <w:tcPr>
            <w:tcW w:w="2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in a foreign subsidiary</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957</w:t>
            </w:r>
          </w:p>
        </w:tc>
        <w:tc>
          <w:tcPr>
            <w:tcW w:w="80" w:type="dxa"/>
            <w:vAlign w:val="bottom"/>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Financial Instruments, Derivatives and Fair Value Measures (Continued)</w:t>
      </w:r>
    </w:p>
    <w:p>
      <w:pPr>
        <w:spacing w:after="0" w:line="200" w:lineRule="exact"/>
        <w:rPr>
          <w:sz w:val="20"/>
          <w:szCs w:val="20"/>
          <w:color w:val="auto"/>
        </w:rPr>
      </w:pPr>
    </w:p>
    <w:p>
      <w:pPr>
        <w:spacing w:after="0" w:line="3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for foreign currency forward exchange contracts designated as cash flow hedges and certain other derivative financial instruments, as well as the amounts and location of income (expense) and gain (loss) reclassified into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60" w:type="dxa"/>
            <w:vAlign w:val="bottom"/>
            <w:gridSpan w:val="11"/>
          </w:tcPr>
          <w:p>
            <w:pPr>
              <w:ind w:left="40"/>
              <w:spacing w:after="0"/>
              <w:rPr>
                <w:sz w:val="20"/>
                <w:szCs w:val="20"/>
                <w:color w:val="auto"/>
              </w:rPr>
            </w:pPr>
            <w:r>
              <w:rPr>
                <w:rFonts w:ascii="Times New Roman" w:cs="Times New Roman" w:eastAsia="Times New Roman" w:hAnsi="Times New Roman"/>
                <w:sz w:val="14"/>
                <w:szCs w:val="14"/>
                <w:b w:val="1"/>
                <w:bCs w:val="1"/>
                <w:color w:val="auto"/>
              </w:rPr>
              <w:t>Gain (loss) Recognized in Other Comprehensive Income</w:t>
            </w:r>
          </w:p>
        </w:tc>
        <w:tc>
          <w:tcPr>
            <w:tcW w:w="120" w:type="dxa"/>
            <w:vAlign w:val="bottom"/>
          </w:tcPr>
          <w:p>
            <w:pPr>
              <w:spacing w:after="0"/>
              <w:rPr>
                <w:sz w:val="13"/>
                <w:szCs w:val="13"/>
                <w:color w:val="auto"/>
              </w:rPr>
            </w:pPr>
          </w:p>
        </w:tc>
        <w:tc>
          <w:tcPr>
            <w:tcW w:w="380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(expense) and Gain (loss) Reclassified into Income</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(loss)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1"/>
            <w:vMerge w:val="continue"/>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5"/>
          </w:tcPr>
          <w:p>
            <w:pPr>
              <w:ind w:left="120"/>
              <w:spacing w:after="0" w:line="136"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4"/>
          </w:tcPr>
          <w:p>
            <w:pPr>
              <w:jc w:val="center"/>
              <w:ind w:right="115"/>
              <w:spacing w:after="0" w:line="136"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5"/>
          </w:tcPr>
          <w:p>
            <w:pPr>
              <w:ind w:left="160"/>
              <w:spacing w:after="0" w:line="136"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4"/>
          </w:tcPr>
          <w:p>
            <w:pPr>
              <w:jc w:val="center"/>
              <w:ind w:right="135"/>
              <w:spacing w:after="0" w:line="136"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7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8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7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2"/>
                <w:szCs w:val="12"/>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0" w:type="dxa"/>
            <w:vAlign w:val="bottom"/>
          </w:tcPr>
          <w:p>
            <w:pPr>
              <w:spacing w:after="0"/>
              <w:rPr>
                <w:sz w:val="1"/>
                <w:szCs w:val="1"/>
                <w:color w:val="auto"/>
              </w:rPr>
            </w:pPr>
          </w:p>
        </w:tc>
      </w:tr>
      <w:tr>
        <w:trPr>
          <w:trHeight w:val="196"/>
        </w:trPr>
        <w:tc>
          <w:tcPr>
            <w:tcW w:w="2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Caption</w:t>
            </w:r>
          </w:p>
        </w:tc>
        <w:tc>
          <w:tcPr>
            <w:tcW w:w="0" w:type="dxa"/>
            <w:vAlign w:val="bottom"/>
          </w:tcPr>
          <w:p>
            <w:pPr>
              <w:spacing w:after="0"/>
              <w:rPr>
                <w:sz w:val="1"/>
                <w:szCs w:val="1"/>
                <w:color w:val="auto"/>
              </w:rPr>
            </w:pPr>
          </w:p>
        </w:tc>
      </w:tr>
      <w:tr>
        <w:trPr>
          <w:trHeight w:val="175"/>
        </w:trPr>
        <w:tc>
          <w:tcPr>
            <w:tcW w:w="224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forward</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center"/>
              <w:ind w:left="340"/>
              <w:spacing w:after="0" w:line="176" w:lineRule="exact"/>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w:t>
            </w:r>
          </w:p>
        </w:tc>
        <w:tc>
          <w:tcPr>
            <w:tcW w:w="0" w:type="dxa"/>
            <w:vAlign w:val="bottom"/>
          </w:tcPr>
          <w:p>
            <w:pPr>
              <w:spacing w:after="0"/>
              <w:rPr>
                <w:sz w:val="1"/>
                <w:szCs w:val="1"/>
                <w:color w:val="auto"/>
              </w:rPr>
            </w:pPr>
          </w:p>
        </w:tc>
      </w:tr>
      <w:tr>
        <w:trPr>
          <w:trHeight w:val="184"/>
        </w:trPr>
        <w:tc>
          <w:tcPr>
            <w:tcW w:w="234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exchange contracts</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products sold</w:t>
            </w:r>
          </w:p>
        </w:tc>
        <w:tc>
          <w:tcPr>
            <w:tcW w:w="0" w:type="dxa"/>
            <w:vAlign w:val="bottom"/>
          </w:tcPr>
          <w:p>
            <w:pPr>
              <w:spacing w:after="0"/>
              <w:rPr>
                <w:sz w:val="1"/>
                <w:szCs w:val="1"/>
                <w:color w:val="auto"/>
              </w:rPr>
            </w:pPr>
          </w:p>
        </w:tc>
      </w:tr>
      <w:tr>
        <w:trPr>
          <w:trHeight w:val="180"/>
        </w:trPr>
        <w:tc>
          <w:tcPr>
            <w:tcW w:w="234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designated as cash flow</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designated as a hedge of</w:t>
            </w:r>
          </w:p>
        </w:tc>
        <w:tc>
          <w:tcPr>
            <w:tcW w:w="160" w:type="dxa"/>
            <w:vAlign w:val="bottom"/>
          </w:tcPr>
          <w:p>
            <w:pPr>
              <w:spacing w:after="0"/>
              <w:rPr>
                <w:sz w:val="15"/>
                <w:szCs w:val="15"/>
                <w:color w:val="auto"/>
              </w:rPr>
            </w:pPr>
          </w:p>
        </w:tc>
        <w:tc>
          <w:tcPr>
            <w:tcW w:w="7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left="280"/>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76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84"/>
        </w:trPr>
        <w:tc>
          <w:tcPr>
            <w:tcW w:w="234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net investment in a foreign</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rate swaps designated</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left="280"/>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w:t>
            </w:r>
          </w:p>
        </w:tc>
        <w:tc>
          <w:tcPr>
            <w:tcW w:w="0" w:type="dxa"/>
            <w:vAlign w:val="bottom"/>
          </w:tcPr>
          <w:p>
            <w:pPr>
              <w:spacing w:after="0"/>
              <w:rPr>
                <w:sz w:val="1"/>
                <w:szCs w:val="1"/>
                <w:color w:val="auto"/>
              </w:rPr>
            </w:pPr>
          </w:p>
        </w:tc>
      </w:tr>
      <w:tr>
        <w:trPr>
          <w:trHeight w:val="243"/>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fair value hedges</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of $9 million and losses of $89 million were recognized in the three months ended September 30, 2025, and 2024, respectively, related to foreign currency forward exchange contracts not designated as a hedge. Gains of $44 million and $46 million were recognized in the nine months ended September 30, 2025, and 2024, respectively, related to foreign currency forward exchange contracts not designated as a hedge. These amounts are reported in the Condensed Consolidated Statement of Earnings on the Net foreign exchange (gain) loss line.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and fair values of certain financial instruments as of September 30, 2025, and December 31, 2024, are shown in the following table. The carrying values of all other financial instruments approximate their estimated fair values. The counterparties to financial instruments consist of select major international financial institutions. Abbott does not expect any losses from non-performance by these counterparties.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286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 position</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 position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Hedge Contracts: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 position</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5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(Payable) position</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debt was determined based on significant other observable inputs, including current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Financial Instruments, Derivatives and Fair Value Measures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bases used to measure certain assets and liabilities at fair value on a recurring basis in the balance sheet: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6"/>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Outstanding Balances</w:t>
            </w:r>
          </w:p>
        </w:tc>
        <w:tc>
          <w:tcPr>
            <w:tcW w:w="180" w:type="dxa"/>
            <w:vAlign w:val="bottom"/>
          </w:tcPr>
          <w:p>
            <w:pPr>
              <w:spacing w:after="0"/>
              <w:rPr>
                <w:sz w:val="11"/>
                <w:szCs w:val="11"/>
                <w:color w:val="auto"/>
              </w:rPr>
            </w:pPr>
          </w:p>
        </w:tc>
        <w:tc>
          <w:tcPr>
            <w:tcW w:w="14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300" w:type="dxa"/>
            <w:vAlign w:val="bottom"/>
          </w:tcPr>
          <w:p>
            <w:pPr>
              <w:spacing w:after="0"/>
              <w:rPr>
                <w:sz w:val="11"/>
                <w:szCs w:val="11"/>
                <w:color w:val="auto"/>
              </w:rPr>
            </w:pPr>
          </w:p>
        </w:tc>
        <w:tc>
          <w:tcPr>
            <w:tcW w:w="1180" w:type="dxa"/>
            <w:vAlign w:val="bottom"/>
          </w:tcPr>
          <w:p>
            <w:pPr>
              <w:jc w:val="right"/>
              <w:ind w:right="331"/>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200"/>
        </w:trPr>
        <w:tc>
          <w:tcPr>
            <w:tcW w:w="5040" w:type="dxa"/>
            <w:vAlign w:val="bottom"/>
            <w:gridSpan w:val="2"/>
            <w:vMerge w:val="continue"/>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hedged long-term debt</w:t>
            </w: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financial instruments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business combinations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financial instruments</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hedged long-term debt</w:t>
            </w: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financial instruments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business combinations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foreign currency forward exchange contracts is determined using a market approach, which utilizes values for comparable derivative instruments. The fair value of debt was determined based on the face value of the debt adjusted for the fair value of the interest rate swaps, which is based on a discounted cash flow analysis using significant other observable inputs. The fair value of the contingent consideration was determined based on independent appraisals at the time of acquisition, adjusted for the time value of money and other changes in fair value. The decrease in the amount of contingent consideration from December 31, 2024, reflects a contingent consideration payment related to a previous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Litigation and Environmental Matters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has been identified as a potentially responsible party for investigation and cleanup costs at a number of locations in the United States and Puerto Rico under federal and state remediation laws and is investigating potential contamination at a number of company-owned locations. Abbott has recorded an estimated cleanup cost for each site for which management believes Abbott has a probable loss exposure. No individual site cleanup exposure is expected to exceed $4 million, and the aggregate cleanup exposure is not expected to exceed $10 million.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Abbott has been named as a defendant in a number of lawsuits alleging that its preterm infant formula and human milk fortifier products that contain cow’s milk ingredients cause an intestinal disease known as necrotizing enterocolitis (NEC) and inadequately warn about the risk of NEC. These lawsuits claim that certain preterm infants suffered injury or death as a result of contracting NEC. Two cases have gone to trial. In a Missouri state case, a jury awarded a plaintiff $495 million in damages. In a second Missouri state court case, a jury found in Abbott’s favor, and the judge later ordered a new trial in that matter. The two Missouri cases are on appeal. In the first three federal Multidistrict Litigation (MDL) “bellwether” cases, the U.S. District Court for the Northern District of Illinois granted summary judgment in favor of Abbott. The plaintiff in the first case has filed an appeal. Abbott stands by its products and the information it provided about them. Abbott does not believe that it is probable that a material loss will be incurred related to these lawsuits and therefore, no reserves have been recorded. Given the uncertainty as to the possible outcome in each of these lawsuits, Abbott is unable to reasonably estimate a range of possible loss related to these lawsuits.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Abbott is involved in various claims and legal proceedings, and Abbott estimates the range of possible loss for its legal proceedings and environmental exposures to be from approximately $5 million to $15 million. The recorded accrual balance at September 30, 2025, for these proceedings and exposures was approximately $10 million. This accrual represents management’s best estimate of probable loss, as defined by FASB ASC No. 450, “Contingencies.” Within the next year, legal proceedings may occur that may result in a change in the estimated loss accrued by Abbott. While it is not feasible to predict the outcome of all such proceedings and exposures with certainty, management believes that their ultimate disposition should not have a material adverse effect on Abbott’s financial position, cash flows, or results of operations, except for the cases discussed in the second paragraph of this note, the resolution of which could be material to Abbott's financial position, cash flows or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Post-Employment Benefits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Retirement plans consist of defined benefit, defined contribution, and medical and dental plans. Net periodic benefit costs, other than service costs, are recognized in the Other (income) expense, net line of the Condensed Consolidated Statement of Earnings. Net costs recognized for Abbott’s major defined benefit plans and post-employment medical and dental benefit plans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Medical and Dental Plans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gridSpan w:val="6"/>
          </w:tcPr>
          <w:p>
            <w:pPr>
              <w:spacing w:after="0"/>
              <w:rPr>
                <w:sz w:val="2"/>
                <w:szCs w:val="2"/>
                <w:color w:val="auto"/>
              </w:rPr>
            </w:pPr>
          </w:p>
        </w:tc>
        <w:tc>
          <w:tcPr>
            <w:tcW w:w="2200" w:type="dxa"/>
            <w:vAlign w:val="bottom"/>
            <w:gridSpan w:val="6"/>
          </w:tcPr>
          <w:p>
            <w:pPr>
              <w:spacing w:after="0"/>
              <w:rPr>
                <w:sz w:val="2"/>
                <w:szCs w:val="2"/>
                <w:color w:val="auto"/>
              </w:rPr>
            </w:pPr>
          </w:p>
        </w:tc>
        <w:tc>
          <w:tcPr>
            <w:tcW w:w="2200" w:type="dxa"/>
            <w:vAlign w:val="bottom"/>
            <w:gridSpan w:val="6"/>
          </w:tcPr>
          <w:p>
            <w:pPr>
              <w:spacing w:after="0"/>
              <w:rPr>
                <w:sz w:val="2"/>
                <w:szCs w:val="2"/>
                <w:color w:val="auto"/>
              </w:rPr>
            </w:pPr>
          </w:p>
        </w:tc>
        <w:tc>
          <w:tcPr>
            <w:tcW w:w="210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Borders>
              <w:top w:val="single" w:sz="8" w:color="auto"/>
            </w:tcBorders>
            <w:gridSpan w:val="6"/>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120" w:type="dxa"/>
            <w:vAlign w:val="bottom"/>
            <w:tcBorders>
              <w:top w:val="single" w:sz="8" w:color="auto"/>
            </w:tcBorders>
            <w:gridSpan w:val="5"/>
          </w:tcPr>
          <w:p>
            <w:pPr>
              <w:jc w:val="right"/>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80" w:type="dxa"/>
            <w:vAlign w:val="bottom"/>
          </w:tcPr>
          <w:p>
            <w:pPr>
              <w:spacing w:after="0"/>
              <w:rPr>
                <w:sz w:val="11"/>
                <w:szCs w:val="11"/>
                <w:color w:val="auto"/>
              </w:rPr>
            </w:pPr>
          </w:p>
        </w:tc>
        <w:tc>
          <w:tcPr>
            <w:tcW w:w="2200" w:type="dxa"/>
            <w:vAlign w:val="bottom"/>
            <w:tcBorders>
              <w:top w:val="single" w:sz="8" w:color="auto"/>
            </w:tcBorders>
            <w:gridSpan w:val="6"/>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100" w:type="dxa"/>
            <w:vAlign w:val="bottom"/>
            <w:tcBorders>
              <w:top w:val="single" w:sz="8" w:color="auto"/>
            </w:tcBorders>
            <w:gridSpan w:val="5"/>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Pr>
          <w:p>
            <w:pPr>
              <w:spacing w:after="0"/>
              <w:rPr>
                <w:sz w:val="17"/>
                <w:szCs w:val="17"/>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2"/>
        </w:trPr>
        <w:tc>
          <w:tcPr>
            <w:tcW w:w="2460" w:type="dxa"/>
            <w:vAlign w:val="bottom"/>
            <w:tcBorders>
              <w:top w:val="single" w:sz="8" w:color="auto"/>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Service cost - benefits earned during</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the period</w:t>
            </w:r>
          </w:p>
        </w:tc>
        <w:tc>
          <w:tcPr>
            <w:tcW w:w="2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Interest cost on projected benefit</w:t>
            </w: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ind w:left="54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w w:val="96"/>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amortization of:</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Actuarial loss,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Prior service cost (credit)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7"/>
        </w:trPr>
        <w:tc>
          <w:tcPr>
            <w:tcW w:w="2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cost (credit)</w:t>
            </w: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Post-Employment Benefits (Continued)</w:t>
      </w:r>
    </w:p>
    <w:p>
      <w:pPr>
        <w:spacing w:after="0" w:line="200" w:lineRule="exact"/>
        <w:rPr>
          <w:sz w:val="20"/>
          <w:szCs w:val="20"/>
          <w:color w:val="auto"/>
        </w:rPr>
      </w:pP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funds its domestic defined benefit plans according to U.S. Internal Revenue Service (IRS) funding limitations. International pension plans are funded according to similar regulations. In the first nine months of 2025 and 2024, $256 million and $298 million, respectively, were contributed to defined benefit plans. In the first nine months of 2025 and 2024, $75 million and $28 million were contributed, respectively, to the post-employment medical and dental plans.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Taxes on Earnings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Taxes on earnings reflect the estimated annual effective rates and include charges for interest and penalties. In the first nine months of 2025 and 2024, taxes on earnings include $91 million and $44 million, respectively, in excess tax benefits associated with share-based compensation. In the first nine months of 2025, taxes on earnings includes approximately $460 million of tax expense related to a deferred tax asset that was recognized as a significant non-cash tax benefit in a prior year. In the first nine months of 2025 and 2024, taxes on earnings also included approximately $90 million of net tax benefit and $35 million of net tax expense, respectively, as the result of the resolution of various tax positions related to prior years.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2023, Abbott received a Statutory Notice of Deficiency (SNOD) from the IRS for the 2019 Federal tax year in the amount of $417 million. The primary adjustments proposed in the SNOD relate to the reallocation of income between Abbott’s U.S. entities and its foreign affiliates. Abbott believes that the income reallocation adjustments proposed in the SNOD are without merit, in part because certain adjustments contradict methods that were agreed to with the IRS in prior audit periods. The SNOD also contains other proposed adjustments that Abbott believes are erroneous and unsupported. Abbott filed a petition with the U.S. Tax Court contesting the SNOD in December 2023.</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Abbott received a SNOD from the IRS for the 2017 and 2018 Federal tax years in the amount of $192 million. The matters proposed in the 2017/2018 SNOD are substantially similar to the income allocation adjustments included in the 2019 SNOD. Abbott filed a petition in September 2024 with the U.S. Tax Court contesting the 2017/2018 SNOD in a manner consistent with its petition for the 2019 SNOD.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2024, Abbott received a SNOD from the IRS for the 2020 Federal tax year assessing an additional $443 million of income tax. The primary adjustments proposed in the SNOD are substantially similar to the income allocation adjustments included in the 2017/2018 and 2019 SNODs. Abbott believes that the income reallocation adjustments proposed in the SNOD are without merit. The SNOD also contains other proposed adjustments and omissions that Abbott believes are erroneous and unsupported. In addition to the tax assessment for the 2020 tax year, the 2020 SNOD also contested a deduction for which an estimated $440 million cash tax benefit would be available in a different taxable year as allowed under applicable U.S. tax law. Abbott filed a petition with the U.S. Tax Court contesting the SNOD in December 2024.</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intends to vigorously defend its filing positions through ongoing discussions with the IRS, the IRS independent appeals process, and/or through litigation, as necessary. Abbott reserves for uncertain tax positions related to unresolved matters with the IRS and other taxing authorities. Abbott continues to believe that its reserves for uncertain tax positions are appropriate.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&amp; Development (OECD) has proposed a two-pillared plan for a revised international tax system. Pillar 1 proposes to reallocate taxing rights among the jurisdictions in which in-scope multinational corporations operate. Pillar 2 proposes to assess a 15 percent minimum tax on the earnings of in-scope multinational corporations on a country-by-country basis. Numerous countries have enacted legislation to adopt the Pillar 2 model rules. The enactment of current Pillar 2 model rules did not and is not projected to have a material impact to Abbott's consolidated financial statements. Abbott continues to monitor the Pillar 1 and Pillar 2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Segment Information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Abbott’s principal business is the discovery, development, manufacture, and sale of a broad line of healthcare products. Abbott’s products are generally sold directly to retailers, wholesalers, hospitals, healthcare facilities, laboratories, physicians’ offices, and government agencies throughout the world.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Abbott’s reportable segments are as follows: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Established Pharmaceutical Products </w:t>
      </w:r>
      <w:r>
        <w:rPr>
          <w:rFonts w:ascii="Times New Roman" w:cs="Times New Roman" w:eastAsia="Times New Roman" w:hAnsi="Times New Roman"/>
          <w:sz w:val="18"/>
          <w:szCs w:val="18"/>
          <w:color w:val="auto"/>
        </w:rPr>
        <w:t>— International sales of a broad line of branded generic pharmaceutical products.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Nutritional Products </w:t>
      </w:r>
      <w:r>
        <w:rPr>
          <w:rFonts w:ascii="Times New Roman" w:cs="Times New Roman" w:eastAsia="Times New Roman" w:hAnsi="Times New Roman"/>
          <w:sz w:val="18"/>
          <w:szCs w:val="18"/>
          <w:color w:val="auto"/>
        </w:rPr>
        <w:t>— Worldwide sales of a broad line of adult and pediatric nutritional products.</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Diagnostic Products </w:t>
      </w:r>
      <w:r>
        <w:rPr>
          <w:rFonts w:ascii="Times New Roman" w:cs="Times New Roman" w:eastAsia="Times New Roman" w:hAnsi="Times New Roman"/>
          <w:sz w:val="18"/>
          <w:szCs w:val="18"/>
          <w:color w:val="auto"/>
        </w:rPr>
        <w:t>— Worldwide sales of diagnostic systems and tests for blood banks, hospitals, commercial laboratories, and alternate-care testing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sites. For segment reporting purposes, the Core Laboratory Diagnostics, Rapid Diagnostics, Molecular Diagnostics, and Point of Care Diagnostics businesses are aggregated and reported as the Diagnostic Products segment.</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Medical Devices </w:t>
      </w:r>
      <w:r>
        <w:rPr>
          <w:rFonts w:ascii="Times New Roman" w:cs="Times New Roman" w:eastAsia="Times New Roman" w:hAnsi="Times New Roman"/>
          <w:sz w:val="18"/>
          <w:szCs w:val="18"/>
          <w:color w:val="auto"/>
        </w:rPr>
        <w:t>— Worldwide sales of rhythm management, electrophysiology, heart failure, vascular, structural heart, neuromodulation, and diabetes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For segment reporting purposes, the Rhythm Management, Electrophysiology, Heart Failure, Vascular, Structural Heart, Neuromodulation, and Diabetes Care businesses are aggregated and reported as the Medical Devices segment.</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Abbott’s underlying accounting records are maintained on a legal entity basis for government and public reporting requirements. Segment disclosures are on a performance basis consistent with internal management reporting. The chief operating decision maker (CODM) at Abbott is the Chief Executive Officer (CEO). The CODM primarily considers sales and operating margin to assess the performance of segments and to allocate resources, where segment operating margin profitability includes cost of products sold and operating expenses. The cost of some corporate functions and the cost of certain employee benefits are charged to segments at predetermined rates that approximate cost. Remaining costs, if any, are not allocated to segments. In addition, intangible asset amortization is not allocated to operating segments, and intangible assets and goodwill are not included in the measure of each segment’s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Segment Information (Continued)</w:t>
      </w:r>
    </w:p>
    <w:p>
      <w:pPr>
        <w:spacing w:after="0" w:line="200" w:lineRule="exact"/>
        <w:rPr>
          <w:sz w:val="20"/>
          <w:szCs w:val="20"/>
          <w:color w:val="auto"/>
        </w:rPr>
      </w:pPr>
    </w:p>
    <w:p>
      <w:pPr>
        <w:spacing w:after="0" w:line="3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segment information has been prepared in accordance with the internal accounting policies of Abbott, as described above, and is not presented in accordance with generally accepted accounting principles applied to the consolidated financial statements.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8"/>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Selling, General and</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7"/>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Net Sales to External Customers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6"/>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Cost of Products Sold</w:t>
            </w:r>
          </w:p>
        </w:tc>
        <w:tc>
          <w:tcPr>
            <w:tcW w:w="140" w:type="dxa"/>
            <w:vAlign w:val="bottom"/>
          </w:tcPr>
          <w:p>
            <w:pPr>
              <w:spacing w:after="0"/>
              <w:rPr>
                <w:sz w:val="12"/>
                <w:szCs w:val="12"/>
                <w:color w:val="auto"/>
              </w:rPr>
            </w:pPr>
          </w:p>
        </w:tc>
        <w:tc>
          <w:tcPr>
            <w:tcW w:w="1620" w:type="dxa"/>
            <w:vAlign w:val="bottom"/>
            <w:gridSpan w:val="6"/>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Research and Development</w:t>
            </w:r>
          </w:p>
        </w:tc>
        <w:tc>
          <w:tcPr>
            <w:tcW w:w="180" w:type="dxa"/>
            <w:vAlign w:val="bottom"/>
          </w:tcPr>
          <w:p>
            <w:pPr>
              <w:spacing w:after="0"/>
              <w:rPr>
                <w:sz w:val="12"/>
                <w:szCs w:val="12"/>
                <w:color w:val="auto"/>
              </w:rPr>
            </w:pPr>
          </w:p>
        </w:tc>
        <w:tc>
          <w:tcPr>
            <w:tcW w:w="1600" w:type="dxa"/>
            <w:vAlign w:val="bottom"/>
            <w:gridSpan w:val="8"/>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Administrative</w:t>
            </w:r>
          </w:p>
        </w:tc>
        <w:tc>
          <w:tcPr>
            <w:tcW w:w="180" w:type="dxa"/>
            <w:vAlign w:val="bottom"/>
          </w:tcPr>
          <w:p>
            <w:pPr>
              <w:spacing w:after="0"/>
              <w:rPr>
                <w:sz w:val="12"/>
                <w:szCs w:val="12"/>
                <w:color w:val="auto"/>
              </w:rPr>
            </w:pPr>
          </w:p>
        </w:tc>
        <w:tc>
          <w:tcPr>
            <w:tcW w:w="1500" w:type="dxa"/>
            <w:vAlign w:val="bottom"/>
            <w:gridSpan w:val="5"/>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8"/>
              </w:rPr>
              <w:t>Operating Earnings</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8"/>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Three Months Ended September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6"/>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Three Months Ended September</w:t>
            </w:r>
          </w:p>
        </w:tc>
        <w:tc>
          <w:tcPr>
            <w:tcW w:w="1760" w:type="dxa"/>
            <w:vAlign w:val="bottom"/>
            <w:gridSpan w:val="7"/>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Three Months Ended September</w:t>
            </w:r>
          </w:p>
        </w:tc>
        <w:tc>
          <w:tcPr>
            <w:tcW w:w="1780" w:type="dxa"/>
            <w:vAlign w:val="bottom"/>
            <w:gridSpan w:val="9"/>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Three Months Ended September</w:t>
            </w: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Three Months Ended September</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86"/>
              </w:rPr>
              <w:t>30,</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30,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30,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5"/>
          </w:tcPr>
          <w:p>
            <w:pPr>
              <w:jc w:val="center"/>
              <w:ind w:left="341"/>
              <w:spacing w:after="0"/>
              <w:rPr>
                <w:sz w:val="20"/>
                <w:szCs w:val="20"/>
                <w:color w:val="auto"/>
              </w:rPr>
            </w:pPr>
            <w:r>
              <w:rPr>
                <w:rFonts w:ascii="Times New Roman" w:cs="Times New Roman" w:eastAsia="Times New Roman" w:hAnsi="Times New Roman"/>
                <w:sz w:val="11"/>
                <w:szCs w:val="11"/>
                <w:b w:val="1"/>
                <w:bCs w:val="1"/>
                <w:color w:val="auto"/>
              </w:rPr>
              <w:t>30,</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30,</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5"/>
                <w:szCs w:val="15"/>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2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2"/>
        </w:trPr>
        <w:tc>
          <w:tcPr>
            <w:tcW w:w="2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Established Pharmaceuticals</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1,511</w:t>
            </w:r>
          </w:p>
        </w:tc>
        <w:tc>
          <w:tcPr>
            <w:tcW w:w="3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0" w:type="dxa"/>
            <w:vAlign w:val="bottom"/>
          </w:tcPr>
          <w:p>
            <w:pPr>
              <w:spacing w:after="0"/>
              <w:rPr>
                <w:sz w:val="1"/>
                <w:szCs w:val="1"/>
                <w:color w:val="auto"/>
              </w:rPr>
            </w:pPr>
          </w:p>
        </w:tc>
      </w:tr>
      <w:tr>
        <w:trPr>
          <w:trHeight w:val="173"/>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Nutritionals</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0" w:type="dxa"/>
            <w:vAlign w:val="bottom"/>
          </w:tcPr>
          <w:p>
            <w:pPr>
              <w:spacing w:after="0"/>
              <w:rPr>
                <w:sz w:val="1"/>
                <w:szCs w:val="1"/>
                <w:color w:val="auto"/>
              </w:rPr>
            </w:pPr>
          </w:p>
        </w:tc>
      </w:tr>
      <w:tr>
        <w:trPr>
          <w:trHeight w:val="29"/>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Diagnostics</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2,412</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0" w:type="dxa"/>
            <w:vAlign w:val="bottom"/>
          </w:tcPr>
          <w:p>
            <w:pPr>
              <w:spacing w:after="0"/>
              <w:rPr>
                <w:sz w:val="1"/>
                <w:szCs w:val="1"/>
                <w:color w:val="auto"/>
              </w:rPr>
            </w:pPr>
          </w:p>
        </w:tc>
      </w:tr>
      <w:tr>
        <w:trPr>
          <w:trHeight w:val="173"/>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Medical Devices</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0" w:type="dxa"/>
            <w:vAlign w:val="bottom"/>
          </w:tcPr>
          <w:p>
            <w:pPr>
              <w:spacing w:after="0"/>
              <w:rPr>
                <w:sz w:val="1"/>
                <w:szCs w:val="1"/>
                <w:color w:val="auto"/>
              </w:rPr>
            </w:pPr>
          </w:p>
        </w:tc>
      </w:tr>
      <w:tr>
        <w:trPr>
          <w:trHeight w:val="29"/>
        </w:trPr>
        <w:tc>
          <w:tcPr>
            <w:tcW w:w="2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11,365</w:t>
            </w:r>
          </w:p>
        </w:tc>
        <w:tc>
          <w:tcPr>
            <w:tcW w:w="3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10,631</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(4,994)</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2,980</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2,763</w:t>
            </w:r>
          </w:p>
        </w:tc>
        <w:tc>
          <w:tcPr>
            <w:tcW w:w="0" w:type="dxa"/>
            <w:vAlign w:val="bottom"/>
          </w:tcPr>
          <w:p>
            <w:pPr>
              <w:spacing w:after="0"/>
              <w:rPr>
                <w:sz w:val="1"/>
                <w:szCs w:val="1"/>
                <w:color w:val="auto"/>
              </w:rPr>
            </w:pPr>
          </w:p>
        </w:tc>
      </w:tr>
      <w:tr>
        <w:trPr>
          <w:trHeight w:val="167"/>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11,369</w:t>
            </w:r>
          </w:p>
        </w:tc>
        <w:tc>
          <w:tcPr>
            <w:tcW w:w="3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3"/>
                <w:szCs w:val="13"/>
                <w:color w:val="auto"/>
              </w:rPr>
              <w:t>Corporate functions and plan benefit costs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0" w:type="dxa"/>
            <w:vAlign w:val="bottom"/>
          </w:tcPr>
          <w:p>
            <w:pPr>
              <w:spacing w:after="0" w:line="20" w:lineRule="exact"/>
              <w:rPr>
                <w:sz w:val="1"/>
                <w:szCs w:val="1"/>
                <w:color w:val="auto"/>
              </w:rPr>
            </w:pPr>
          </w:p>
        </w:tc>
      </w:tr>
      <w:tr>
        <w:trPr>
          <w:trHeight w:val="121"/>
        </w:trPr>
        <w:tc>
          <w:tcPr>
            <w:tcW w:w="25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expense</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73"/>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Share-based compensation (a)</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29"/>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0" w:type="dxa"/>
            <w:vAlign w:val="bottom"/>
          </w:tcPr>
          <w:p>
            <w:pPr>
              <w:spacing w:after="0"/>
              <w:rPr>
                <w:sz w:val="1"/>
                <w:szCs w:val="1"/>
                <w:color w:val="auto"/>
              </w:rPr>
            </w:pPr>
          </w:p>
        </w:tc>
      </w:tr>
      <w:tr>
        <w:trPr>
          <w:trHeight w:val="173"/>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Other, net (b)</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9"/>
        </w:trPr>
        <w:tc>
          <w:tcPr>
            <w:tcW w:w="2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before Taxes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2,180</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gridSpan w:val="8"/>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Selling, General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8"/>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8"/>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Net Sales to External Customers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6"/>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Cost of Products Sold</w:t>
            </w:r>
          </w:p>
        </w:tc>
        <w:tc>
          <w:tcPr>
            <w:tcW w:w="140" w:type="dxa"/>
            <w:vAlign w:val="bottom"/>
          </w:tcPr>
          <w:p>
            <w:pPr>
              <w:spacing w:after="0"/>
              <w:rPr>
                <w:sz w:val="12"/>
                <w:szCs w:val="12"/>
                <w:color w:val="auto"/>
              </w:rPr>
            </w:pPr>
          </w:p>
        </w:tc>
        <w:tc>
          <w:tcPr>
            <w:tcW w:w="1620" w:type="dxa"/>
            <w:vAlign w:val="bottom"/>
            <w:gridSpan w:val="6"/>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Research and Development</w:t>
            </w:r>
          </w:p>
        </w:tc>
        <w:tc>
          <w:tcPr>
            <w:tcW w:w="180" w:type="dxa"/>
            <w:vAlign w:val="bottom"/>
          </w:tcPr>
          <w:p>
            <w:pPr>
              <w:spacing w:after="0"/>
              <w:rPr>
                <w:sz w:val="12"/>
                <w:szCs w:val="12"/>
                <w:color w:val="auto"/>
              </w:rPr>
            </w:pPr>
          </w:p>
        </w:tc>
        <w:tc>
          <w:tcPr>
            <w:tcW w:w="1600" w:type="dxa"/>
            <w:vAlign w:val="bottom"/>
            <w:gridSpan w:val="8"/>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Administrative</w:t>
            </w:r>
          </w:p>
        </w:tc>
        <w:tc>
          <w:tcPr>
            <w:tcW w:w="180" w:type="dxa"/>
            <w:vAlign w:val="bottom"/>
          </w:tcPr>
          <w:p>
            <w:pPr>
              <w:spacing w:after="0"/>
              <w:rPr>
                <w:sz w:val="12"/>
                <w:szCs w:val="12"/>
                <w:color w:val="auto"/>
              </w:rPr>
            </w:pPr>
          </w:p>
        </w:tc>
        <w:tc>
          <w:tcPr>
            <w:tcW w:w="1500" w:type="dxa"/>
            <w:vAlign w:val="bottom"/>
            <w:gridSpan w:val="5"/>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8"/>
              </w:rPr>
              <w:t>Operating Earnings</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8"/>
          </w:tcPr>
          <w:p>
            <w:pPr>
              <w:spacing w:after="0"/>
              <w:rPr>
                <w:sz w:val="20"/>
                <w:szCs w:val="20"/>
                <w:color w:val="auto"/>
              </w:rPr>
            </w:pPr>
            <w:r>
              <w:rPr>
                <w:rFonts w:ascii="Times New Roman" w:cs="Times New Roman" w:eastAsia="Times New Roman" w:hAnsi="Times New Roman"/>
                <w:sz w:val="11"/>
                <w:szCs w:val="11"/>
                <w:b w:val="1"/>
                <w:bCs w:val="1"/>
                <w:color w:val="auto"/>
                <w:w w:val="99"/>
              </w:rPr>
              <w:t>Nine Months Ended September 30,</w:t>
            </w:r>
          </w:p>
        </w:tc>
        <w:tc>
          <w:tcPr>
            <w:tcW w:w="80" w:type="dxa"/>
            <w:vAlign w:val="bottom"/>
          </w:tcPr>
          <w:p>
            <w:pPr>
              <w:spacing w:after="0"/>
              <w:rPr>
                <w:sz w:val="12"/>
                <w:szCs w:val="12"/>
                <w:color w:val="auto"/>
              </w:rPr>
            </w:pPr>
          </w:p>
        </w:tc>
        <w:tc>
          <w:tcPr>
            <w:tcW w:w="1780" w:type="dxa"/>
            <w:vAlign w:val="bottom"/>
            <w:gridSpan w:val="7"/>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Nine Months Ended September 30,</w:t>
            </w:r>
          </w:p>
        </w:tc>
        <w:tc>
          <w:tcPr>
            <w:tcW w:w="1760" w:type="dxa"/>
            <w:vAlign w:val="bottom"/>
            <w:gridSpan w:val="7"/>
          </w:tcPr>
          <w:p>
            <w:pPr>
              <w:ind w:left="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780" w:type="dxa"/>
            <w:vAlign w:val="bottom"/>
            <w:gridSpan w:val="9"/>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Nine Months Ended September 30,</w:t>
            </w: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Nine Months Ended September 30,</w:t>
            </w:r>
          </w:p>
        </w:tc>
        <w:tc>
          <w:tcPr>
            <w:tcW w:w="0" w:type="dxa"/>
            <w:vAlign w:val="bottom"/>
          </w:tcPr>
          <w:p>
            <w:pPr>
              <w:spacing w:after="0"/>
              <w:rPr>
                <w:sz w:val="1"/>
                <w:szCs w:val="1"/>
                <w:color w:val="auto"/>
              </w:rPr>
            </w:pPr>
          </w:p>
        </w:tc>
      </w:tr>
      <w:tr>
        <w:trPr>
          <w:trHeight w:val="175"/>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5"/>
                <w:szCs w:val="15"/>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2"/>
        </w:trPr>
        <w:tc>
          <w:tcPr>
            <w:tcW w:w="2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Established Pharmaceuticals</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4,154</w:t>
            </w:r>
          </w:p>
        </w:tc>
        <w:tc>
          <w:tcPr>
            <w:tcW w:w="3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3,926</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(1,914)</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w:t>
            </w:r>
          </w:p>
        </w:tc>
        <w:tc>
          <w:tcPr>
            <w:tcW w:w="0" w:type="dxa"/>
            <w:vAlign w:val="bottom"/>
          </w:tcPr>
          <w:p>
            <w:pPr>
              <w:spacing w:after="0"/>
              <w:rPr>
                <w:sz w:val="1"/>
                <w:szCs w:val="1"/>
                <w:color w:val="auto"/>
              </w:rPr>
            </w:pPr>
          </w:p>
        </w:tc>
      </w:tr>
      <w:tr>
        <w:trPr>
          <w:trHeight w:val="173"/>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Nutritionals</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0" w:type="dxa"/>
            <w:vAlign w:val="bottom"/>
          </w:tcPr>
          <w:p>
            <w:pPr>
              <w:spacing w:after="0"/>
              <w:rPr>
                <w:sz w:val="1"/>
                <w:szCs w:val="1"/>
                <w:color w:val="auto"/>
              </w:rPr>
            </w:pPr>
          </w:p>
        </w:tc>
      </w:tr>
      <w:tr>
        <w:trPr>
          <w:trHeight w:val="30"/>
        </w:trPr>
        <w:tc>
          <w:tcPr>
            <w:tcW w:w="23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Diagnostics</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6,480</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(3,666)</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0" w:type="dxa"/>
            <w:vAlign w:val="bottom"/>
          </w:tcPr>
          <w:p>
            <w:pPr>
              <w:spacing w:after="0"/>
              <w:rPr>
                <w:sz w:val="1"/>
                <w:szCs w:val="1"/>
                <w:color w:val="auto"/>
              </w:rPr>
            </w:pPr>
          </w:p>
        </w:tc>
      </w:tr>
      <w:tr>
        <w:trPr>
          <w:trHeight w:val="173"/>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Medical Devices</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4,380</w:t>
            </w: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32,857</w:t>
            </w:r>
          </w:p>
        </w:tc>
        <w:tc>
          <w:tcPr>
            <w:tcW w:w="3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30,965</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(14,205)</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(2,036)</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8,572</w:t>
            </w: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7,866</w:t>
            </w:r>
          </w:p>
        </w:tc>
        <w:tc>
          <w:tcPr>
            <w:tcW w:w="0" w:type="dxa"/>
            <w:vAlign w:val="bottom"/>
          </w:tcPr>
          <w:p>
            <w:pPr>
              <w:spacing w:after="0"/>
              <w:rPr>
                <w:sz w:val="1"/>
                <w:szCs w:val="1"/>
                <w:color w:val="auto"/>
              </w:rPr>
            </w:pPr>
          </w:p>
        </w:tc>
      </w:tr>
      <w:tr>
        <w:trPr>
          <w:trHeight w:val="16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32,869</w:t>
            </w:r>
          </w:p>
        </w:tc>
        <w:tc>
          <w:tcPr>
            <w:tcW w:w="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Corporate functions and plan benefit costs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0" w:type="dxa"/>
            <w:vAlign w:val="bottom"/>
          </w:tcPr>
          <w:p>
            <w:pPr>
              <w:spacing w:after="0" w:line="20" w:lineRule="exact"/>
              <w:rPr>
                <w:sz w:val="1"/>
                <w:szCs w:val="1"/>
                <w:color w:val="auto"/>
              </w:rPr>
            </w:pPr>
          </w:p>
        </w:tc>
      </w:tr>
      <w:tr>
        <w:trPr>
          <w:trHeight w:val="121"/>
        </w:trPr>
        <w:tc>
          <w:tcPr>
            <w:tcW w:w="24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3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expense</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73"/>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Share-based compensation (a)</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0" w:type="dxa"/>
            <w:vAlign w:val="bottom"/>
          </w:tcPr>
          <w:p>
            <w:pPr>
              <w:spacing w:after="0"/>
              <w:rPr>
                <w:sz w:val="1"/>
                <w:szCs w:val="1"/>
                <w:color w:val="auto"/>
              </w:rPr>
            </w:pPr>
          </w:p>
        </w:tc>
      </w:tr>
      <w:tr>
        <w:trPr>
          <w:trHeight w:val="30"/>
        </w:trPr>
        <w:tc>
          <w:tcPr>
            <w:tcW w:w="23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0" w:type="dxa"/>
            <w:vAlign w:val="bottom"/>
          </w:tcPr>
          <w:p>
            <w:pPr>
              <w:spacing w:after="0"/>
              <w:rPr>
                <w:sz w:val="1"/>
                <w:szCs w:val="1"/>
                <w:color w:val="auto"/>
              </w:rPr>
            </w:pPr>
          </w:p>
        </w:tc>
      </w:tr>
      <w:tr>
        <w:trPr>
          <w:trHeight w:val="173"/>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Other, net (b)</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before Taxes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6,108</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45" w:lineRule="exact"/>
        <w:rPr>
          <w:sz w:val="20"/>
          <w:szCs w:val="20"/>
          <w:color w:val="auto"/>
        </w:rPr>
      </w:pPr>
    </w:p>
    <w:p>
      <w:pPr>
        <w:ind w:left="760" w:hanging="734"/>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45 percent of the annual net cost of share-based awards will typically be recognized in the first quarter due to the timing of the granting of share-based awards.</w:t>
      </w:r>
    </w:p>
    <w:p>
      <w:pPr>
        <w:spacing w:after="0" w:line="41" w:lineRule="exact"/>
        <w:rPr>
          <w:rFonts w:ascii="Times New Roman" w:cs="Times New Roman" w:eastAsia="Times New Roman" w:hAnsi="Times New Roman"/>
          <w:sz w:val="14"/>
          <w:szCs w:val="14"/>
          <w:color w:val="auto"/>
        </w:rPr>
      </w:pPr>
    </w:p>
    <w:p>
      <w:pPr>
        <w:ind w:left="760" w:right="80" w:hanging="734"/>
        <w:spacing w:after="0" w:line="241"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net for the three and nine months ended September 30, 2025 and 2024, includes charges related to restructurings. For the nine months ended September 30, 2025, Other, net includes a fair value adjustment to a contingent consideration. Other, net for the three and nine months ended September 30, 2024, includes charges related to impairment of IPR&amp;D and costs related to business integration. Other, net for the nine months ended September 30, 2024, includes a loss on the divestiture of a non-core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Abbott Laboratories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Notes to the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Segment Information (Continued)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Established Pharmaceuticals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Nutritionals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Diagnostics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Medical Devices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 Reportable Segments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Established Pharmaceuticals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Nutritionals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Diagnostics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Medical Devices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 Reportable Segments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Established Pharmaceuticals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Nutritionals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Diagnostics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Medical Devices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Total Reportable Segment Assets</w:t>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Cash and investments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Goodwill and intangible assets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All other (c)</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437"/>
              <w:spacing w:after="0"/>
              <w:rPr>
                <w:sz w:val="20"/>
                <w:szCs w:val="20"/>
                <w:color w:val="auto"/>
              </w:rPr>
            </w:pPr>
            <w:r>
              <w:rPr>
                <w:rFonts w:ascii="Times New Roman" w:cs="Times New Roman" w:eastAsia="Times New Roman" w:hAnsi="Times New Roman"/>
                <w:sz w:val="13"/>
                <w:szCs w:val="13"/>
                <w:b w:val="1"/>
                <w:bCs w:val="1"/>
                <w:color w:val="auto"/>
                <w:w w:val="96"/>
              </w:rPr>
              <w:t>Additions to</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6"/>
        </w:trPr>
        <w:tc>
          <w:tcPr>
            <w:tcW w:w="8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right="497"/>
              <w:spacing w:after="0"/>
              <w:rPr>
                <w:sz w:val="20"/>
                <w:szCs w:val="20"/>
                <w:color w:val="auto"/>
              </w:rPr>
            </w:pPr>
            <w:r>
              <w:rPr>
                <w:rFonts w:ascii="Times New Roman" w:cs="Times New Roman" w:eastAsia="Times New Roman" w:hAnsi="Times New Roman"/>
                <w:sz w:val="13"/>
                <w:szCs w:val="13"/>
                <w:b w:val="1"/>
                <w:bCs w:val="1"/>
                <w:color w:val="auto"/>
                <w:w w:val="95"/>
              </w:rPr>
              <w:t>Depreciation</w:t>
            </w: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Borders>
              <w:bottom w:val="single" w:sz="8" w:color="auto"/>
            </w:tcBorders>
            <w:gridSpan w:val="6"/>
          </w:tcPr>
          <w:p>
            <w:pPr>
              <w:jc w:val="center"/>
              <w:ind w:left="417"/>
              <w:spacing w:after="0"/>
              <w:rPr>
                <w:sz w:val="20"/>
                <w:szCs w:val="20"/>
                <w:color w:val="auto"/>
              </w:rPr>
            </w:pPr>
            <w:r>
              <w:rPr>
                <w:rFonts w:ascii="Times New Roman" w:cs="Times New Roman" w:eastAsia="Times New Roman" w:hAnsi="Times New Roman"/>
                <w:sz w:val="13"/>
                <w:szCs w:val="13"/>
                <w:b w:val="1"/>
                <w:bCs w:val="1"/>
                <w:color w:val="auto"/>
                <w:w w:val="97"/>
              </w:rPr>
              <w:t>Property and Equipment</w:t>
            </w: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73"/>
        </w:trPr>
        <w:tc>
          <w:tcPr>
            <w:tcW w:w="2360" w:type="dxa"/>
            <w:vAlign w:val="bottom"/>
            <w:gridSpan w:val="5"/>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Three Months Ended September 30,</w:t>
            </w:r>
          </w:p>
        </w:tc>
      </w:tr>
      <w:tr>
        <w:trPr>
          <w:trHeight w:val="203"/>
        </w:trPr>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
        </w:trPr>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67"/>
        </w:trPr>
        <w:tc>
          <w:tcPr>
            <w:tcW w:w="840" w:type="dxa"/>
            <w:vAlign w:val="bottom"/>
          </w:tcPr>
          <w:p>
            <w:pPr>
              <w:jc w:val="right"/>
              <w:ind w:right="69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80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94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82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0" w:type="dxa"/>
            <w:vAlign w:val="bottom"/>
          </w:tcPr>
          <w:p>
            <w:pPr>
              <w:spacing w:after="0"/>
              <w:rPr>
                <w:sz w:val="14"/>
                <w:szCs w:val="14"/>
                <w:color w:val="auto"/>
              </w:rPr>
            </w:pPr>
          </w:p>
        </w:tc>
      </w:tr>
      <w:tr>
        <w:trPr>
          <w:trHeight w:val="203"/>
        </w:trPr>
        <w:tc>
          <w:tcPr>
            <w:tcW w:w="8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2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2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20" w:type="dxa"/>
            <w:vAlign w:val="bottom"/>
          </w:tcPr>
          <w:p>
            <w:pPr>
              <w:spacing w:after="0"/>
              <w:rPr>
                <w:sz w:val="17"/>
                <w:szCs w:val="17"/>
                <w:color w:val="auto"/>
              </w:rPr>
            </w:pPr>
          </w:p>
        </w:tc>
      </w:tr>
      <w:tr>
        <w:trPr>
          <w:trHeight w:val="29"/>
        </w:trPr>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67"/>
        </w:trPr>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20" w:type="dxa"/>
            <w:vAlign w:val="bottom"/>
          </w:tcPr>
          <w:p>
            <w:pPr>
              <w:spacing w:after="0"/>
              <w:rPr>
                <w:sz w:val="14"/>
                <w:szCs w:val="14"/>
                <w:color w:val="auto"/>
              </w:rPr>
            </w:pPr>
          </w:p>
        </w:tc>
      </w:tr>
      <w:tr>
        <w:trPr>
          <w:trHeight w:val="203"/>
        </w:trPr>
        <w:tc>
          <w:tcPr>
            <w:tcW w:w="8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0" w:type="dxa"/>
            <w:vAlign w:val="bottom"/>
          </w:tcPr>
          <w:p>
            <w:pPr>
              <w:spacing w:after="0"/>
              <w:rPr>
                <w:sz w:val="17"/>
                <w:szCs w:val="17"/>
                <w:color w:val="auto"/>
              </w:rPr>
            </w:pPr>
          </w:p>
        </w:tc>
      </w:tr>
      <w:tr>
        <w:trPr>
          <w:trHeight w:val="29"/>
        </w:trPr>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67"/>
        </w:trPr>
        <w:tc>
          <w:tcPr>
            <w:tcW w:w="840" w:type="dxa"/>
            <w:vAlign w:val="bottom"/>
          </w:tcPr>
          <w:p>
            <w:pPr>
              <w:jc w:val="right"/>
              <w:ind w:right="69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80" w:type="dxa"/>
            <w:vAlign w:val="bottom"/>
          </w:tcPr>
          <w:p>
            <w:pPr>
              <w:spacing w:after="0"/>
              <w:rPr>
                <w:sz w:val="14"/>
                <w:szCs w:val="14"/>
                <w:color w:val="auto"/>
              </w:rPr>
            </w:pPr>
          </w:p>
        </w:tc>
        <w:tc>
          <w:tcPr>
            <w:tcW w:w="80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tcPr>
          <w:p>
            <w:pPr>
              <w:spacing w:after="0"/>
              <w:rPr>
                <w:sz w:val="14"/>
                <w:szCs w:val="14"/>
                <w:color w:val="auto"/>
              </w:rPr>
            </w:pPr>
          </w:p>
        </w:tc>
        <w:tc>
          <w:tcPr>
            <w:tcW w:w="94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100" w:type="dxa"/>
            <w:vAlign w:val="bottom"/>
          </w:tcPr>
          <w:p>
            <w:pPr>
              <w:spacing w:after="0"/>
              <w:rPr>
                <w:sz w:val="14"/>
                <w:szCs w:val="14"/>
                <w:color w:val="auto"/>
              </w:rPr>
            </w:pPr>
          </w:p>
        </w:tc>
        <w:tc>
          <w:tcPr>
            <w:tcW w:w="82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20" w:type="dxa"/>
            <w:vAlign w:val="bottom"/>
          </w:tcPr>
          <w:p>
            <w:pPr>
              <w:spacing w:after="0"/>
              <w:rPr>
                <w:sz w:val="14"/>
                <w:szCs w:val="14"/>
                <w:color w:val="auto"/>
              </w:rPr>
            </w:pPr>
          </w:p>
        </w:tc>
      </w:tr>
      <w:tr>
        <w:trPr>
          <w:trHeight w:val="29"/>
        </w:trPr>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00"/>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4"/>
          </w:tcPr>
          <w:p>
            <w:pPr>
              <w:jc w:val="center"/>
              <w:ind w:right="437"/>
              <w:spacing w:after="0"/>
              <w:rPr>
                <w:sz w:val="20"/>
                <w:szCs w:val="20"/>
                <w:color w:val="auto"/>
              </w:rPr>
            </w:pPr>
            <w:r>
              <w:rPr>
                <w:rFonts w:ascii="Times New Roman" w:cs="Times New Roman" w:eastAsia="Times New Roman" w:hAnsi="Times New Roman"/>
                <w:sz w:val="13"/>
                <w:szCs w:val="13"/>
                <w:b w:val="1"/>
                <w:bCs w:val="1"/>
                <w:color w:val="auto"/>
                <w:w w:val="96"/>
              </w:rPr>
              <w:t>Additions to</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8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right="497"/>
              <w:spacing w:after="0"/>
              <w:rPr>
                <w:sz w:val="20"/>
                <w:szCs w:val="20"/>
                <w:color w:val="auto"/>
              </w:rPr>
            </w:pPr>
            <w:r>
              <w:rPr>
                <w:rFonts w:ascii="Times New Roman" w:cs="Times New Roman" w:eastAsia="Times New Roman" w:hAnsi="Times New Roman"/>
                <w:sz w:val="13"/>
                <w:szCs w:val="13"/>
                <w:b w:val="1"/>
                <w:bCs w:val="1"/>
                <w:color w:val="auto"/>
                <w:w w:val="95"/>
              </w:rPr>
              <w:t>Depreciation</w:t>
            </w:r>
          </w:p>
        </w:tc>
        <w:tc>
          <w:tcPr>
            <w:tcW w:w="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Borders>
              <w:bottom w:val="single" w:sz="8" w:color="auto"/>
            </w:tcBorders>
            <w:gridSpan w:val="6"/>
          </w:tcPr>
          <w:p>
            <w:pPr>
              <w:jc w:val="center"/>
              <w:ind w:left="417"/>
              <w:spacing w:after="0"/>
              <w:rPr>
                <w:sz w:val="20"/>
                <w:szCs w:val="20"/>
                <w:color w:val="auto"/>
              </w:rPr>
            </w:pPr>
            <w:r>
              <w:rPr>
                <w:rFonts w:ascii="Times New Roman" w:cs="Times New Roman" w:eastAsia="Times New Roman" w:hAnsi="Times New Roman"/>
                <w:sz w:val="13"/>
                <w:szCs w:val="13"/>
                <w:b w:val="1"/>
                <w:bCs w:val="1"/>
                <w:color w:val="auto"/>
                <w:w w:val="97"/>
              </w:rPr>
              <w:t>Property and Equipment</w:t>
            </w: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73"/>
        </w:trPr>
        <w:tc>
          <w:tcPr>
            <w:tcW w:w="2360" w:type="dxa"/>
            <w:vAlign w:val="bottom"/>
            <w:gridSpan w:val="5"/>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w:t>
            </w:r>
          </w:p>
        </w:tc>
      </w:tr>
      <w:tr>
        <w:trPr>
          <w:trHeight w:val="203"/>
        </w:trPr>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
        </w:trPr>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67"/>
        </w:trPr>
        <w:tc>
          <w:tcPr>
            <w:tcW w:w="840" w:type="dxa"/>
            <w:vAlign w:val="bottom"/>
          </w:tcPr>
          <w:p>
            <w:pPr>
              <w:jc w:val="right"/>
              <w:ind w:right="69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4"/>
                <w:szCs w:val="14"/>
                <w:color w:val="auto"/>
              </w:rPr>
            </w:pPr>
          </w:p>
        </w:tc>
        <w:tc>
          <w:tcPr>
            <w:tcW w:w="80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94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14"/>
                <w:szCs w:val="14"/>
                <w:color w:val="auto"/>
              </w:rPr>
            </w:pPr>
          </w:p>
        </w:tc>
        <w:tc>
          <w:tcPr>
            <w:tcW w:w="82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0" w:type="dxa"/>
            <w:vAlign w:val="bottom"/>
          </w:tcPr>
          <w:p>
            <w:pPr>
              <w:spacing w:after="0"/>
              <w:rPr>
                <w:sz w:val="14"/>
                <w:szCs w:val="14"/>
                <w:color w:val="auto"/>
              </w:rPr>
            </w:pPr>
          </w:p>
        </w:tc>
      </w:tr>
      <w:tr>
        <w:trPr>
          <w:trHeight w:val="203"/>
        </w:trPr>
        <w:tc>
          <w:tcPr>
            <w:tcW w:w="8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2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20" w:type="dxa"/>
            <w:vAlign w:val="bottom"/>
          </w:tcPr>
          <w:p>
            <w:pPr>
              <w:spacing w:after="0"/>
              <w:rPr>
                <w:sz w:val="17"/>
                <w:szCs w:val="17"/>
                <w:color w:val="auto"/>
              </w:rPr>
            </w:pPr>
          </w:p>
        </w:tc>
      </w:tr>
      <w:tr>
        <w:trPr>
          <w:trHeight w:val="202"/>
        </w:trPr>
        <w:tc>
          <w:tcPr>
            <w:tcW w:w="8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20" w:type="dxa"/>
            <w:vAlign w:val="bottom"/>
          </w:tcPr>
          <w:p>
            <w:pPr>
              <w:spacing w:after="0"/>
              <w:rPr>
                <w:sz w:val="17"/>
                <w:szCs w:val="17"/>
                <w:color w:val="auto"/>
              </w:rPr>
            </w:pPr>
          </w:p>
        </w:tc>
      </w:tr>
      <w:tr>
        <w:trPr>
          <w:trHeight w:val="30"/>
        </w:trPr>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67"/>
        </w:trPr>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5"/>
              </w:rPr>
              <w:t>1,251</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20" w:type="dxa"/>
            <w:vAlign w:val="bottom"/>
          </w:tcPr>
          <w:p>
            <w:pPr>
              <w:spacing w:after="0"/>
              <w:rPr>
                <w:sz w:val="14"/>
                <w:szCs w:val="14"/>
                <w:color w:val="auto"/>
              </w:rPr>
            </w:pPr>
          </w:p>
        </w:tc>
      </w:tr>
      <w:tr>
        <w:trPr>
          <w:trHeight w:val="203"/>
        </w:trPr>
        <w:tc>
          <w:tcPr>
            <w:tcW w:w="8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20" w:type="dxa"/>
            <w:vAlign w:val="bottom"/>
          </w:tcPr>
          <w:p>
            <w:pPr>
              <w:spacing w:after="0"/>
              <w:rPr>
                <w:sz w:val="17"/>
                <w:szCs w:val="17"/>
                <w:color w:val="auto"/>
              </w:rPr>
            </w:pPr>
          </w:p>
        </w:tc>
      </w:tr>
      <w:tr>
        <w:trPr>
          <w:trHeight w:val="30"/>
        </w:trPr>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66"/>
        </w:trPr>
        <w:tc>
          <w:tcPr>
            <w:tcW w:w="840" w:type="dxa"/>
            <w:vAlign w:val="bottom"/>
          </w:tcPr>
          <w:p>
            <w:pPr>
              <w:jc w:val="right"/>
              <w:ind w:right="69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tcPr>
          <w:p>
            <w:pPr>
              <w:spacing w:after="0"/>
              <w:rPr>
                <w:sz w:val="14"/>
                <w:szCs w:val="14"/>
                <w:color w:val="auto"/>
              </w:rPr>
            </w:pPr>
          </w:p>
        </w:tc>
        <w:tc>
          <w:tcPr>
            <w:tcW w:w="80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80" w:type="dxa"/>
            <w:vAlign w:val="bottom"/>
          </w:tcPr>
          <w:p>
            <w:pPr>
              <w:spacing w:after="0"/>
              <w:rPr>
                <w:sz w:val="14"/>
                <w:szCs w:val="14"/>
                <w:color w:val="auto"/>
              </w:rPr>
            </w:pPr>
          </w:p>
        </w:tc>
        <w:tc>
          <w:tcPr>
            <w:tcW w:w="94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5"/>
              </w:rPr>
              <w:t>1,443</w:t>
            </w:r>
          </w:p>
        </w:tc>
        <w:tc>
          <w:tcPr>
            <w:tcW w:w="100" w:type="dxa"/>
            <w:vAlign w:val="bottom"/>
          </w:tcPr>
          <w:p>
            <w:pPr>
              <w:spacing w:after="0"/>
              <w:rPr>
                <w:sz w:val="14"/>
                <w:szCs w:val="14"/>
                <w:color w:val="auto"/>
              </w:rPr>
            </w:pPr>
          </w:p>
        </w:tc>
        <w:tc>
          <w:tcPr>
            <w:tcW w:w="820" w:type="dxa"/>
            <w:vAlign w:val="bottom"/>
          </w:tcPr>
          <w:p>
            <w:pPr>
              <w:jc w:val="right"/>
              <w:ind w:right="67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20" w:type="dxa"/>
            <w:vAlign w:val="bottom"/>
          </w:tcPr>
          <w:p>
            <w:pPr>
              <w:spacing w:after="0"/>
              <w:rPr>
                <w:sz w:val="14"/>
                <w:szCs w:val="14"/>
                <w:color w:val="auto"/>
              </w:rPr>
            </w:pPr>
          </w:p>
        </w:tc>
      </w:tr>
      <w:tr>
        <w:trPr>
          <w:trHeight w:val="30"/>
        </w:trPr>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760"/>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5"/>
          </w:tcPr>
          <w:p>
            <w:pPr>
              <w:ind w:left="720"/>
              <w:spacing w:after="0"/>
              <w:rPr>
                <w:sz w:val="20"/>
                <w:szCs w:val="20"/>
                <w:color w:val="auto"/>
              </w:rPr>
            </w:pPr>
            <w:r>
              <w:rPr>
                <w:rFonts w:ascii="Times New Roman" w:cs="Times New Roman" w:eastAsia="Times New Roman" w:hAnsi="Times New Roman"/>
                <w:sz w:val="13"/>
                <w:szCs w:val="13"/>
                <w:b w:val="1"/>
                <w:bCs w:val="1"/>
                <w:color w:val="auto"/>
                <w:w w:val="94"/>
              </w:rPr>
              <w:t>Total Assets</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
        </w:trPr>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As of September 30, 2025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r>
      <w:tr>
        <w:trPr>
          <w:trHeight w:val="30"/>
        </w:trPr>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67"/>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34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242424"/>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3,087</w:t>
            </w:r>
          </w:p>
        </w:tc>
        <w:tc>
          <w:tcPr>
            <w:tcW w:w="20" w:type="dxa"/>
            <w:vAlign w:val="bottom"/>
          </w:tcPr>
          <w:p>
            <w:pPr>
              <w:spacing w:after="0"/>
              <w:rPr>
                <w:sz w:val="14"/>
                <w:szCs w:val="14"/>
                <w:color w:val="auto"/>
              </w:rPr>
            </w:pPr>
          </w:p>
        </w:tc>
      </w:tr>
      <w:tr>
        <w:trPr>
          <w:trHeight w:val="203"/>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4,404</w:t>
            </w:r>
          </w:p>
        </w:tc>
        <w:tc>
          <w:tcPr>
            <w:tcW w:w="2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7,678</w:t>
            </w:r>
          </w:p>
        </w:tc>
        <w:tc>
          <w:tcPr>
            <w:tcW w:w="2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9,472</w:t>
            </w:r>
          </w:p>
        </w:tc>
        <w:tc>
          <w:tcPr>
            <w:tcW w:w="20" w:type="dxa"/>
            <w:vAlign w:val="bottom"/>
          </w:tcPr>
          <w:p>
            <w:pPr>
              <w:spacing w:after="0"/>
              <w:rPr>
                <w:sz w:val="17"/>
                <w:szCs w:val="17"/>
                <w:color w:val="auto"/>
              </w:rPr>
            </w:pPr>
          </w:p>
        </w:tc>
      </w:tr>
      <w:tr>
        <w:trPr>
          <w:trHeight w:val="30"/>
        </w:trPr>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27,398</w:t>
            </w:r>
          </w:p>
        </w:tc>
        <w:tc>
          <w:tcPr>
            <w:tcW w:w="34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242424"/>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24,641</w:t>
            </w:r>
          </w:p>
        </w:tc>
        <w:tc>
          <w:tcPr>
            <w:tcW w:w="20" w:type="dxa"/>
            <w:vAlign w:val="bottom"/>
          </w:tcPr>
          <w:p>
            <w:pPr>
              <w:spacing w:after="0"/>
              <w:rPr>
                <w:sz w:val="14"/>
                <w:szCs w:val="14"/>
                <w:color w:val="auto"/>
              </w:rPr>
            </w:pPr>
          </w:p>
        </w:tc>
      </w:tr>
      <w:tr>
        <w:trPr>
          <w:trHeight w:val="30"/>
        </w:trPr>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8,853</w:t>
            </w:r>
          </w:p>
        </w:tc>
        <w:tc>
          <w:tcPr>
            <w:tcW w:w="20" w:type="dxa"/>
            <w:vAlign w:val="bottom"/>
          </w:tcPr>
          <w:p>
            <w:pPr>
              <w:spacing w:after="0"/>
              <w:rPr>
                <w:sz w:val="14"/>
                <w:szCs w:val="14"/>
                <w:color w:val="auto"/>
              </w:rPr>
            </w:pPr>
          </w:p>
        </w:tc>
      </w:tr>
      <w:tr>
        <w:trPr>
          <w:trHeight w:val="203"/>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29,569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29,755</w:t>
            </w:r>
          </w:p>
        </w:tc>
        <w:tc>
          <w:tcPr>
            <w:tcW w:w="2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18,165</w:t>
            </w:r>
          </w:p>
        </w:tc>
        <w:tc>
          <w:tcPr>
            <w:tcW w:w="20" w:type="dxa"/>
            <w:vAlign w:val="bottom"/>
          </w:tcPr>
          <w:p>
            <w:pPr>
              <w:spacing w:after="0"/>
              <w:rPr>
                <w:sz w:val="17"/>
                <w:szCs w:val="17"/>
                <w:color w:val="auto"/>
              </w:rPr>
            </w:pPr>
          </w:p>
        </w:tc>
      </w:tr>
      <w:tr>
        <w:trPr>
          <w:trHeight w:val="30"/>
        </w:trPr>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67"/>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84,181</w:t>
            </w:r>
          </w:p>
        </w:tc>
        <w:tc>
          <w:tcPr>
            <w:tcW w:w="34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242424"/>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81,414</w:t>
            </w:r>
          </w:p>
        </w:tc>
        <w:tc>
          <w:tcPr>
            <w:tcW w:w="20" w:type="dxa"/>
            <w:vAlign w:val="bottom"/>
          </w:tcPr>
          <w:p>
            <w:pPr>
              <w:spacing w:after="0"/>
              <w:rPr>
                <w:sz w:val="14"/>
                <w:szCs w:val="14"/>
                <w:color w:val="auto"/>
              </w:rPr>
            </w:pPr>
          </w:p>
        </w:tc>
      </w:tr>
      <w:tr>
        <w:trPr>
          <w:trHeight w:val="30"/>
        </w:trPr>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-4234180</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-3977005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-3710940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-4499610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-2562225</wp:posOffset>
            </wp:positionV>
            <wp:extent cx="71323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-2305050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-2039620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-2828290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-959485</wp:posOffset>
            </wp:positionV>
            <wp:extent cx="711517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-702310</wp:posOffset>
            </wp:positionV>
            <wp:extent cx="711517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-427990</wp:posOffset>
            </wp:positionV>
            <wp:extent cx="711517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-170815</wp:posOffset>
            </wp:positionV>
            <wp:extent cx="711517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-1224915</wp:posOffset>
            </wp:positionV>
            <wp:extent cx="711517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5100" w:space="720"/>
            <w:col w:w="5420"/>
          </w:cols>
          <w:pgMar w:left="320" w:top="229" w:right="339" w:bottom="1440" w:gutter="0" w:footer="0" w:header="0"/>
          <w:type w:val="continuous"/>
        </w:sectPr>
      </w:pPr>
    </w:p>
    <w:p>
      <w:pPr>
        <w:ind w:left="760" w:hanging="734"/>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2025, and December 31, 2024, all other includes the long-term assets associated with the defined benefit plans and certain deferred tax assets.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Review — Results of Operations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Abbott’s revenues are derived primarily from the sale of a broad line of healthcare products under short-term receivable arrangements. Patent protection and licenses, technological and performance features, and inclusion of Abbott’s products under a contract most impact which products are sold; price controls, competition, and rebates most impact the net selling prices of products; and foreign currency translation impacts the measurement of net sales and costs. Abbott’s primary products are medical devices, diagnostic testing products, nutritional products, and branded generic pharmaceuticals.</w:t>
      </w:r>
    </w:p>
    <w:p>
      <w:pPr>
        <w:spacing w:after="0" w:line="2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tables detail sales by reportable segment for the three and nine months ended September 30. Percent changes are versus the prior year and are based on unrounded numbers.</w:t>
      </w: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Net Sales to External Customers</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4"/>
                <w:szCs w:val="14"/>
                <w:color w:val="auto"/>
              </w:rPr>
            </w:pPr>
          </w:p>
        </w:tc>
        <w:tc>
          <w:tcPr>
            <w:tcW w:w="11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Impact of Foreign</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Change Excl.</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4"/>
                <w:szCs w:val="14"/>
                <w:color w:val="auto"/>
              </w:rPr>
            </w:pPr>
          </w:p>
        </w:tc>
        <w:tc>
          <w:tcPr>
            <w:tcW w:w="11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 Exchange</w:t>
            </w:r>
          </w:p>
        </w:tc>
        <w:tc>
          <w:tcPr>
            <w:tcW w:w="0" w:type="dxa"/>
            <w:vAlign w:val="bottom"/>
          </w:tcPr>
          <w:p>
            <w:pPr>
              <w:spacing w:after="0"/>
              <w:rPr>
                <w:sz w:val="1"/>
                <w:szCs w:val="1"/>
                <w:color w:val="auto"/>
              </w:rPr>
            </w:pPr>
          </w:p>
        </w:tc>
      </w:tr>
      <w:tr>
        <w:trPr>
          <w:trHeight w:val="23"/>
        </w:trPr>
        <w:tc>
          <w:tcPr>
            <w:tcW w:w="38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Established Pharmaceutical Products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29"/>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Nutritional Products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56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Products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56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Medical Devices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56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n/m</w:t>
            </w:r>
          </w:p>
        </w:tc>
        <w:tc>
          <w:tcPr>
            <w:tcW w:w="154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n/m</w:t>
            </w:r>
          </w:p>
        </w:tc>
        <w:tc>
          <w:tcPr>
            <w:tcW w:w="1460" w:type="dxa"/>
            <w:vAlign w:val="bottom"/>
            <w:tcBorders>
              <w:bottom w:val="single" w:sz="8" w:color="CCEEFF"/>
            </w:tcBorders>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156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w:t>
            </w:r>
          </w:p>
        </w:tc>
        <w:tc>
          <w:tcPr>
            <w:tcW w:w="2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56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8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Net Sales to External Customers</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14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Total Change Excl.</w:t>
            </w:r>
          </w:p>
        </w:tc>
        <w:tc>
          <w:tcPr>
            <w:tcW w:w="0" w:type="dxa"/>
            <w:vAlign w:val="bottom"/>
          </w:tcPr>
          <w:p>
            <w:pPr>
              <w:spacing w:after="0"/>
              <w:rPr>
                <w:sz w:val="1"/>
                <w:szCs w:val="1"/>
                <w:color w:val="auto"/>
              </w:rPr>
            </w:pPr>
          </w:p>
        </w:tc>
      </w:tr>
      <w:tr>
        <w:trPr>
          <w:trHeight w:val="217"/>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 Exchange</w:t>
            </w:r>
          </w:p>
        </w:tc>
        <w:tc>
          <w:tcPr>
            <w:tcW w:w="0" w:type="dxa"/>
            <w:vAlign w:val="bottom"/>
          </w:tcPr>
          <w:p>
            <w:pPr>
              <w:spacing w:after="0"/>
              <w:rPr>
                <w:sz w:val="1"/>
                <w:szCs w:val="1"/>
                <w:color w:val="auto"/>
              </w:rPr>
            </w:pPr>
          </w:p>
        </w:tc>
      </w:tr>
      <w:tr>
        <w:trPr>
          <w:trHeight w:val="23"/>
        </w:trPr>
        <w:tc>
          <w:tcPr>
            <w:tcW w:w="39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0" w:type="dxa"/>
            <w:vAlign w:val="bottom"/>
            <w:tcBorders>
              <w:top w:val="single" w:sz="8" w:color="auto"/>
            </w:tcBorders>
          </w:tcPr>
          <w:p>
            <w:pPr>
              <w:spacing w:after="0"/>
              <w:rPr>
                <w:sz w:val="21"/>
                <w:szCs w:val="21"/>
                <w:color w:val="auto"/>
              </w:rPr>
            </w:pPr>
          </w:p>
        </w:tc>
        <w:tc>
          <w:tcPr>
            <w:tcW w:w="2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Established Pharmaceutical Products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30"/>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Nutritional Products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56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Products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56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Medical Devices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156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30,965</w:t>
            </w:r>
          </w:p>
        </w:tc>
        <w:tc>
          <w:tcPr>
            <w:tcW w:w="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n/m</w:t>
            </w:r>
          </w:p>
        </w:tc>
        <w:tc>
          <w:tcPr>
            <w:tcW w:w="154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n/m</w:t>
            </w:r>
          </w:p>
        </w:tc>
        <w:tc>
          <w:tcPr>
            <w:tcW w:w="1460" w:type="dxa"/>
            <w:vAlign w:val="bottom"/>
            <w:tcBorders>
              <w:bottom w:val="single" w:sz="8" w:color="CCEEFF"/>
            </w:tcBorders>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30,976</w:t>
            </w:r>
          </w:p>
        </w:tc>
        <w:tc>
          <w:tcPr>
            <w:tcW w:w="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w:t>
            </w: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3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18,994</w:t>
            </w:r>
          </w:p>
        </w:tc>
        <w:tc>
          <w:tcPr>
            <w:tcW w:w="156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80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0380" w:type="dxa"/>
            <w:vAlign w:val="bottom"/>
            <w:gridSpan w:val="14"/>
          </w:tcPr>
          <w:p>
            <w:pPr>
              <w:jc w:val="right"/>
              <w:spacing w:after="0"/>
              <w:rPr>
                <w:sz w:val="20"/>
                <w:szCs w:val="20"/>
                <w:color w:val="auto"/>
              </w:rPr>
            </w:pPr>
            <w:r>
              <w:rPr>
                <w:rFonts w:ascii="Times New Roman" w:cs="Times New Roman" w:eastAsia="Times New Roman" w:hAnsi="Times New Roman"/>
                <w:sz w:val="16"/>
                <w:szCs w:val="16"/>
                <w:color w:val="auto"/>
              </w:rPr>
              <w:t>In order to compute results excluding the impact of exchange rates, current year U.S. dollar sales are multiplied or divided, as appropriate, by the current year</w:t>
            </w:r>
          </w:p>
        </w:tc>
        <w:tc>
          <w:tcPr>
            <w:tcW w:w="0" w:type="dxa"/>
            <w:vAlign w:val="bottom"/>
          </w:tcPr>
          <w:p>
            <w:pPr>
              <w:spacing w:after="0"/>
              <w:rPr>
                <w:sz w:val="1"/>
                <w:szCs w:val="1"/>
                <w:color w:val="auto"/>
              </w:rPr>
            </w:pPr>
          </w:p>
        </w:tc>
      </w:tr>
    </w:tbl>
    <w:p>
      <w:pPr>
        <w:ind w:left="960" w:right="820"/>
        <w:spacing w:after="0" w:line="292" w:lineRule="auto"/>
        <w:rPr>
          <w:sz w:val="20"/>
          <w:szCs w:val="20"/>
          <w:color w:val="auto"/>
        </w:rPr>
      </w:pPr>
      <w:r>
        <w:rPr>
          <w:rFonts w:ascii="Times New Roman" w:cs="Times New Roman" w:eastAsia="Times New Roman" w:hAnsi="Times New Roman"/>
          <w:sz w:val="16"/>
          <w:szCs w:val="16"/>
          <w:color w:val="auto"/>
        </w:rPr>
        <w:t>average foreign exchange rates and then those amounts are multiplied or divided, as appropriate, by the prior year average foreign exchange rates. n/m = Percent change is not meaningful</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5.5 percent increase in total net sales during the third quarter of 2025, excluding the impact of foreign exchange, primarily reflected higher product sales in the Medical Devices and Established Pharmaceutical Products segments. Diagnostic Products sales continued to be impacted by the decline in COVID-19 testing-related sales and challenging market conditions in China, including the impact of volume-based procurement programs. COVID-19 testing-related sales were $69 million in the third quarter of 2025 compared to $265 million in the third quarter of 2024. Abbott’s net sales were favorably impacted by changes in foreign exchange rates in the third quarter as the relatively weaker U.S. dollar increased total international sales by 2.3 percent and total sales by 1.4 percent.</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6.4 percent increase in total net sales during the first nine months of 2025, excluding the impact of foreign exchange, reflected sales growth in the Medical Devices and Established Pharmaceutical Products segments, fueled by sales of recently launched products, as well as higher sales of existing products. Diagnostic Products sales growth continued to be impacted by the decline in COVID-19 testing-related sales and challenging market conditions in China, including the impact of volume-based procurement programs. COVID-19 testing-related sales totaled $208 million during the first nine months of 2025 and $571 million during the first nine months of 2024. Abbott’s net sales were unfavorably impacted by changes in foreign exchange rates in the first nine months as the relatively stronger U.S. dollar at the beginning of the year decreased total international sales by 0.4 percent and total sales by 0.3 percent.</w:t>
      </w:r>
    </w:p>
    <w:p>
      <w:pPr>
        <w:spacing w:after="0" w:line="21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table below provides detail by sales category for the nine months ended September 30. Percent changes are versus the prior year and are based on unrounded numbers.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Impact of Foreign</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 Change Excl.</w:t>
            </w:r>
          </w:p>
        </w:tc>
      </w:tr>
      <w:tr>
        <w:trPr>
          <w:trHeight w:val="20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Foreign Exchange</w:t>
            </w:r>
          </w:p>
        </w:tc>
      </w:tr>
      <w:tr>
        <w:trPr>
          <w:trHeight w:val="23"/>
        </w:trPr>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Established Pharmaceutical Products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Key Emerging Markets</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29"/>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Emerging Markets</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3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Nutritional Products —</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Pediatric Nutritionals</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Pediatric Nutritionals</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Adult Nutritionals</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Adult Nutritionals</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r>
      <w:tr>
        <w:trPr>
          <w:trHeight w:val="270"/>
        </w:trPr>
        <w:tc>
          <w:tcPr>
            <w:tcW w:w="3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Products —</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Core Laboratory</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0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Molecular</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Point of Care</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Rapid Diagnostics</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(18.0)</w:t>
            </w:r>
          </w:p>
        </w:tc>
      </w:tr>
      <w:tr>
        <w:trPr>
          <w:trHeight w:val="270"/>
        </w:trPr>
        <w:tc>
          <w:tcPr>
            <w:tcW w:w="3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Devices —</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Rhythm Management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Electrophysiology</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Heart Failure</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Vascular</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Structural Heart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Neuromodulation</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Diabetes Care</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tcPr>
          <w:p>
            <w:pPr>
              <w:spacing w:after="0"/>
              <w:rPr>
                <w:sz w:val="20"/>
                <w:szCs w:val="20"/>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0"/>
                <w:szCs w:val="20"/>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18.1</w:t>
            </w:r>
          </w:p>
        </w:tc>
      </w:tr>
      <w:tr>
        <w:trPr>
          <w:trHeight w:val="900"/>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nine months of 2025, total Established Pharmaceutical Products sales, excluding the impact of foreign exchange, increased 7.5 percent. Excluding the unfavorable effect of foreign exchange, sales in Key Emerging Markets for Established Pharmaceutical Products increased 9.7 percent in the first nine months of 2025, led by higher revenue in several countries and across several therapeutic areas, including cardiometabolic, gastroenterology, and central nervous system/pain management. Other Emerging Markets, excluding the effect of foreign exchange, increased 1.2 percent in the first nine months of 2025.</w:t>
      </w:r>
    </w:p>
    <w:p>
      <w:pPr>
        <w:spacing w:after="0" w:line="21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Excluding the impact of foreign exchange, total Nutritional Products sales in the first nine months of 2025 increased 4.5 percent. In U.S. Pediatric Nutritionals, the 3.0 percent increase in sales in the first nine months of 2025 reflects growth of infant formula and Pedialyte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sales, partially offset by a decrease in PediaSure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sales. Excluding the effect of foreign exchange, International Pediatric Nutritionals sales increased 1.8 percent in the first nine months of 2025.</w:t>
      </w:r>
    </w:p>
    <w:p>
      <w:pPr>
        <w:spacing w:after="0" w:line="22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In the first nine months of 2025, U.S. Adult Nutritionals sales decreased 0.9 percent as a result of lower Ensure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sales and the discontinuation of the ZonePerfect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in March 2024. In the first nine months of 2025, International Adult Nutritionals sales, excluding the effect of foreign exchange, increased 10.2 percent due to growth of Ensure and Glucerna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sales.</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nine months of 2025, Diagnostic Products sales decreased 4.8 percent, excluding the impact of foreign exchange, and increased 0.6 percent, excluding the impact of foreign exchange and COVID-19 testing-related sales. In the first nine months of 2025 and 2024, Abbott’s COVID-19 testing-related sales totaled $208 million and $571 million, respectively.</w:t>
      </w:r>
    </w:p>
    <w:p>
      <w:pPr>
        <w:spacing w:after="0" w:line="20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Core Laboratory, sales increased 1.6 percent in the first nine months of 2025, excluding the effect of foreign exchange, driven by continued growth of Alinity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sales outside of China, partially offset by lower sales in China due to the impact of challenging market conditions. In Rapid Diagnostics, sales decreased 18.0 percent in the first nine months of 2025, excluding the effect of foreign exchange, primarily due to lower demand for COVID-19 tests.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Excluding the effect of foreign exchange, total Medical Devices sales increased 12.4 percent in the first nine months of 2025, led by double-digit growth in Diabetes Care, Heart Failure, Structural Heart, and Electrophysiology. Higher Diabetes Care sales were driven by continued growth in Abbott's continuous glucose monitoring (CGM) systems. CGM systems sales totaled $5.6 billion and $4.7 billion in the first nine months of 2025 and 2024, respectively. Excluding the effect of foreign exchange, CGM systems sales increased 19.4 percent in the first nine months of 2025.</w:t>
      </w:r>
    </w:p>
    <w:p>
      <w:pPr>
        <w:spacing w:after="0" w:line="20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Heart Failure, the 12.9 percent increase in sales, excluding the effect of foreign exchange, primarily reflects growth in chronic and acute pump products and related accessories. In Structural Heart, the 12.5 percent increase in sales, excluding the effect of foreign exchange, primarily reflects growth in TriClip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Navitor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In Electrophysiology, the 11.3 percent increase in sales, excluding the effect of foreign exchange, primarily reflects higher procedure volumes and increased demand for Abbott's portfolio of products designed to diagnose and treat cardiac arrhythmias. In Rhythm Management, the 9.7 percent sales increase in the first nine months of 2025, excluding the impact of foreign exchange, was primarily due to growth in Aveir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leadless pacemakers, partially offset by a decrease in traditional pacemaker and implantable cardioverter defibrillator sales.</w:t>
      </w:r>
    </w:p>
    <w:p>
      <w:pPr>
        <w:spacing w:after="0" w:line="2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March 2025, Abbott obtained CE Mark for its Volt™ Pulsed Field Ablation (PFA) System to treat patients with atrial fibrillation. In May 2025, Abbott announced U.S. Food and Drug Administration (FDA) approval of the company's Tendyne™ transcatheter mitral valve replacement (TMVR) system to treat people with mitral valve disease. In July 2025, Abbott received regulatory approval in Japan for TriClip, a minimally invasive treatment option for patients with tricuspid regurgitation, or a leaky tricuspid heart valve. In August 2025, Abbott obtained CE Mark for an expanded indication for the company's Navitor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transcatheter aortic valve implantation (TAVI) system to treat people with symptomatic, severe aortic stenosis who are at low or intermediate risk for open-heart surgery.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profit margin percentage was 51.7 percent for the third quarter of 2025, compared to 51.4 percent for the third quarter of 2024, and 52.4 percent for the first nine months of 2025 compared to 51.0 percent for the first nine months of 2024. The increase in the first nine months of 2025 reflects the favorable impact of gross margin improvement initiatives, partially offset by higher costs, including tariffs, and the unfavorable impact of foreign exchange.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increased $53 million to $766 million, or 7.5 percent, in the third quarter of 2025, and increased $112 million to $2.2 billion, or 5.4 percent, in the first nine months of 2025 compared to the prior year. The increase in R&amp;D expenses in the first nine months of 2025 was primarily driven by higher spending on various projects.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$156 million to $3.1 billion, or 5.4 percent, in the third quarter of 2025, and increased $413 million to $9.2 billion, or 4.7 percent, in the first nine months of 2025 compared to the prior year due to higher selling and marketing spending to drive growth across various businesses.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Plans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Abbott management approved plans to streamline operations in order to reduce costs and improve efficiencies in its diagnostic and medical devices businesses. In the nine months ended September 30, 2025, Abbott recorded employee related severance and other charges of $197 million, of which $100 million was recorded in Cost of products sold, $38 million was recorded in Research and development, and $59 million was recorded in Selling, general, and administrative. Payments related to these actions totaled $57 million in the first nine months of 2025 and the remaining liabilities totaled $140 million at September 30, 2025. In addition, in the first nine months of 2025, Abbott recognized asset impairment charges of $25 million related to these restructuring plans.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 net</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expense, net increased from $121 million of income in the third quarter of 2024 to $150 million of income in the third quarter of 2025 and increased from $222 million of income in the first nine months of 2024 to $414 million of income in the first nine months of 2025. The increase in the third quarter of 2025 reflects higher income associated with the non-service cost components of net pension and post-retirement medical benefit costs and lower investment impairments. The increase in the first nine months of 2025 is primarily due to the recognition of a $143 million loss on the sale of a non-core business related to the Established Pharmaceutical Products segment in the second quarter of 2024. The increase in the first nine months of 2025 also reflects lower investment impairments and higher income associated with the non-service cost components of net pension and post-retirement medical benefit costs, partially offset by changes in the fair value of contingent consideration liabilities related to previous business combinations.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decreased by $7 million to $44 million in the third quarter of 2025 and decreased by $27 million to $143 million in the first nine months of 2025. In the third quarter and the first nine months of 2025, interest expense decreased primarily as a result of the repayment of long-term debt in November 2024 and March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Taxes on Earnings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Taxes on earnings reflect the estimated annual effective rates and include charges for interest and penalties. In the first nine months of 2025 and 2024, taxes on earnings include $91 million and $44 million, respectively, in excess tax benefits associated with share-based compensation. In the first nine months of 2025, taxes on earnings includes approximately $460 million of tax expense related to a deferred tax asset that was recognized as a significant non-cash tax benefit in a prior year. In the first nine months of 2025 and 2024, taxes on earnings also included approximately $90 million of net tax benefit and $35 million of net tax expense, respectively, as the result of the resolution of various tax positions related to prior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2023, Abbott received a Statutory Notice of Deficiency (SNOD) from the U.S. Internal Revenue Service (IRS) for the 2019 Federal tax year in the amount of $417 million. The primary adjustments proposed in the SNOD relate to the reallocation of income between Abbott’s U.S. entities and its foreign affiliates. Abbott believes that the income reallocation adjustments proposed in the SNOD are without merit, in part because certain adjustments contradict methods that were agreed to with the IRS in prior audit periods. The SNOD also contains other proposed adjustments that Abbott believes are erroneous and unsupported. Abbott filed a petition with the U.S. Tax Court contesting the SNOD in December 2023.</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Abbott received a SNOD from the IRS for the 2017 and 2018 Federal tax years in the amount of $192 million. The matters proposed in the 2017/2018 SNOD are substantially similar to the income allocation adjustments included in the 2019 SNOD. Abbott filed a petition in September 2024 with the U.S. Tax Court contesting the 2017/2018 SNOD in a manner consistent with its petition for the 2019 SNOD.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2024, Abbott received a SNOD from the IRS for the 2020 Federal tax year assessing an additional $443 million of income tax. The primary adjustments proposed in the SNOD are substantially similar to the income allocation adjustments included in the 2017/2018 and 2019 SNODs. Abbott believes that the income reallocation adjustments proposed in the SNOD are without merit. The SNOD also contains other proposed adjustments and omissions that Abbott believes are erroneous and unsupported. In addition to the tax assessment for the 2020 tax year, the 2020 SNOD also contested a deduction for which an estimated $440 million cash tax benefit would be available in a different taxable year as allowed under applicable U.S. tax law. Abbott filed a petition with the U.S. Tax Court contesting the SNOD in December 2024.</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Abbott intends to vigorously defend its filing positions through ongoing discussions with the IRS, the IRS independent appeals process, and/or through litigation, as necessary. Abbott reserves for uncertain tax positions related to unresolved matters with the IRS and other taxing authorities. Abbott continues to believe that its reserves for uncertain tax positions are appropriate.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&amp; Development (OECD) has proposed a two-pillared plan for a revised international tax system. Pillar 1 proposes to reallocate taxing rights among the jurisdictions in which in-scope multinational corporations operate. Pillar 2 proposes to assess a 15 percent minimum tax on the earnings of in-scope multinational corporations on a country-by-country basis. Numerous countries have enacted legislation to adopt the Pillar 2 model rules. The enactment of current Pillar 2 model rules did not and is not projected to have a material impact to Abbott's consolidated financial statements. Abbott continues to monitor the Pillar 1 and Pillar 2 developments.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cash and cash equivalents from $7.6 billion at December 31, 2024, to $7.5 billion at September 30, 2025, reflects the repayments of debt in September and March 2025 of $500 million and $1.0 billion, respectively, and the payment of dividends and capital expenditures in the first nine months of 2025, partially offset by cash generated from operations. Working capital was $10.3 billion at September 30, 2025, and $9.5 billion at December 31, 2024. The increase in working capital in 2025 primarily reflects increases in trade receivables and inventory.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Condensed Consolidated Statement of Cash Flows, Net cash from operating activities for the first nine months of 2025 totaled $6.3 billion, an increase of $561 million from the prior year, primarily due to higher segment operating earnings. In the first nine months of 2025, Net cash from operating activities included $256 million of pension contributions and the payment of cash taxes of $1.5 billion. Net cash from operating activities in the first nine months of 2024 included $298 million of pension contributions and the payment of cash taxes of $1.2 billion.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2025, Abbott’s long-term debt rating was AA- by S&amp;P Global Ratings and Aa3 by Moody’s Investors Service. Abbott expects to maintain an investment grade rating.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15, 2025, Abbott repaid the $500 million outstanding principal amount of its 3.875% Notes upon maturity. On March 17, 2025, Abbott repaid the $1.0 billion outstanding principal amount of its 2.95% Notes upon maturity.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2024, the board of directors authorized the repurchase of up to $7 billion of Abbott common shares, from time to time. This authorization was in addition to the unused portion of the share repurchase program authorized in December 2021. In the third quarter of 2025, Abbott repurchased 2.4 million of its common shares for $303 million, which fully utilized the $293 million authorization remaining under the December 2021 share repurchase program, and a portion of the October 2024 repurchase program.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each of the first three quarters of 2025, Abbott declared a quarterly dividend of $0.59 per share on its common shares, which represents an increase of 7.3 percent over the $0.55 per share dividend declared in each of the first three quarters of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Legislative Issues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Abbott’s primary markets are highly competitive and subject to substantial government regulations throughout the world. Abbott expects debate to continue over the availability, method of delivery, and payment for healthcare products and services. It is not possible to predict the extent to which Abbott or the healthcare industry in general might be adversely affected by these factors in the future. A more complete discussion of these factors is contained in Item 1, Business, and Item 1A, Risk Factors, in our Annual Report on Form 10-K for the year ended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Private Securities Litigation Reform Act of 1995 — A Caution Concerning Forward-Looking Statements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safe harbor provisions of the Private Securities Litigation Reform Act of 1995, Abbott cautions that any forward-looking statements made by Abbott are subject to risks and uncertainties that may cause actual results to differ materially from those indicated in the forward-looking statements. Economic, competitive, governmental, technological, and other factors that may affect Abbott's operations are discussed in Item 1A, "Risk Factors" in our Annual Report on Form 10-K for the year ended December 31, 2024, and are incorporated herein by reference. Abbott undertakes no obligation to release publicly any revisions to forward-looking statements as a result of subsequent events or developments,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u w:val="single" w:color="auto"/>
          <w:color w:val="auto"/>
        </w:rPr>
        <w:t>Item 4.</w:t>
        <w:tab/>
        <w:t>Controls and Procedures</w:t>
      </w:r>
    </w:p>
    <w:p>
      <w:pPr>
        <w:spacing w:after="0" w:line="250" w:lineRule="exact"/>
        <w:rPr>
          <w:sz w:val="20"/>
          <w:szCs w:val="20"/>
          <w:color w:val="auto"/>
        </w:rPr>
      </w:pPr>
    </w:p>
    <w:p>
      <w:pPr>
        <w:jc w:val="both"/>
        <w:ind w:left="820" w:hanging="326"/>
        <w:spacing w:after="0" w:line="255" w:lineRule="auto"/>
        <w:tabs>
          <w:tab w:leader="none" w:pos="8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The Chief Executive Officer, Robert B. Ford, and Chief Financial Officer, Philip P. Boudreau,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Abbott Laboratories’ disclosure controls and procedures as of the end of the period covered by this report, and concluded that Abbott Laboratories’ disclosure controls and procedures were effective to ensure that information Abbott is required to disclose in the reports that it files or submits with the Securities and Exchange Commission (the “Commission”) under the Securities Exchange Act of 1934 (the “Exchange Act”) is recorded, processed, summarized, and reported, within the time periods specified in the Commission’s rules and forms, and to ensure that information required to be disclosed by Abbott in the reports that it files or submits under the Exchange Act is accumulated and communicated to Abbott’s management, including its principal executive officer and principal financial officer, as appropriate to allow timely decisions regarding required disclosure.</w:t>
      </w:r>
    </w:p>
    <w:p>
      <w:pPr>
        <w:spacing w:after="0" w:line="211" w:lineRule="exact"/>
        <w:rPr>
          <w:rFonts w:ascii="Times New Roman" w:cs="Times New Roman" w:eastAsia="Times New Roman" w:hAnsi="Times New Roman"/>
          <w:sz w:val="18"/>
          <w:szCs w:val="18"/>
          <w:color w:val="auto"/>
        </w:rPr>
      </w:pPr>
    </w:p>
    <w:p>
      <w:pPr>
        <w:jc w:val="both"/>
        <w:ind w:left="820" w:hanging="326"/>
        <w:spacing w:after="0" w:line="267" w:lineRule="auto"/>
        <w:tabs>
          <w:tab w:leader="none" w:pos="8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During the quarter ended September 30, 2025, there were no changes in Abbott’s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(as defined in Rule 13a-15(f) under the Exchange Act) that have materially affected, or are reasonably likely to materially affect, Abbott’s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u w:val="single" w:color="auto"/>
          <w:color w:val="auto"/>
        </w:rPr>
        <w:t>Item 1.</w:t>
        <w:tab/>
        <w:t>Legal Proceedings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Abbott is involved in various claims, legal proceedings and investigations as described in its Annual Report on Form 10-K for the year ended December 31, 2024 (the “2024 10-K”), including those described below (as of September 30, 2025, except where noted below). While it is not feasible to predict the outcome of such pending claims, proceedings, and investigations with certainty, management is of the opinion that their ultimate resolution should not have a material adverse effect on Abbott's financial position, cash flows, or results of operations.</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2024 Form 10-K, Abbott reported that it is a defendant in numerous lawsuits alleging that preterm infants developed necrotizing enterocolitis as a result of being administered Abbott’s preterm infant formula products. Abbott further reported in the 2024 10-K that in April 2022, the U.S. Judicial Panel on Multidistrict Litigation ordered all federal court cases consolidated for pretrial purposes in the U.S. District Court for the Northern District of Illinois. The U.S. District Court for the Northern District of Illinois granted summary judgment in favor of Abbott in each of the second and third "bellwether" cases in August and October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7"/>
          <w:szCs w:val="17"/>
          <w:u w:val="single" w:color="auto"/>
          <w:color w:val="auto"/>
        </w:rPr>
        <w:t>Unregistered Sales of Equity Securities and Use of Proceeds</w:t>
      </w:r>
    </w:p>
    <w:p>
      <w:pPr>
        <w:spacing w:after="0" w:line="250" w:lineRule="exact"/>
        <w:rPr>
          <w:sz w:val="20"/>
          <w:szCs w:val="20"/>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Purchases of Equity Securities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 Maximum</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w:t>
            </w:r>
          </w:p>
        </w:tc>
        <w:tc>
          <w:tcPr>
            <w:tcW w:w="260" w:type="dxa"/>
            <w:vAlign w:val="bottom"/>
          </w:tcPr>
          <w:p>
            <w:pPr>
              <w:spacing w:after="0"/>
              <w:rPr>
                <w:sz w:val="15"/>
                <w:szCs w:val="15"/>
                <w:color w:val="auto"/>
              </w:rPr>
            </w:pPr>
          </w:p>
        </w:tc>
        <w:tc>
          <w:tcPr>
            <w:tcW w:w="14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Number (or</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(or</w:t>
            </w:r>
          </w:p>
        </w:tc>
        <w:tc>
          <w:tcPr>
            <w:tcW w:w="260" w:type="dxa"/>
            <w:vAlign w:val="bottom"/>
          </w:tcPr>
          <w:p>
            <w:pPr>
              <w:spacing w:after="0"/>
              <w:rPr>
                <w:sz w:val="15"/>
                <w:szCs w:val="15"/>
                <w:color w:val="auto"/>
              </w:rPr>
            </w:pPr>
          </w:p>
        </w:tc>
        <w:tc>
          <w:tcPr>
            <w:tcW w:w="14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980" w:type="dxa"/>
            <w:vAlign w:val="bottom"/>
          </w:tcPr>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(a) Total</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260" w:type="dxa"/>
            <w:vAlign w:val="bottom"/>
          </w:tcPr>
          <w:p>
            <w:pPr>
              <w:spacing w:after="0"/>
              <w:rPr>
                <w:sz w:val="14"/>
                <w:szCs w:val="14"/>
                <w:color w:val="auto"/>
              </w:rPr>
            </w:pPr>
          </w:p>
        </w:tc>
        <w:tc>
          <w:tcPr>
            <w:tcW w:w="14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Shares (or Units)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980" w:type="dxa"/>
            <w:vAlign w:val="bottom"/>
          </w:tcPr>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(b) 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w:t>
            </w:r>
          </w:p>
        </w:tc>
        <w:tc>
          <w:tcPr>
            <w:tcW w:w="260" w:type="dxa"/>
            <w:vAlign w:val="bottom"/>
          </w:tcPr>
          <w:p>
            <w:pPr>
              <w:spacing w:after="0"/>
              <w:rPr>
                <w:sz w:val="15"/>
                <w:szCs w:val="15"/>
                <w:color w:val="auto"/>
              </w:rPr>
            </w:pPr>
          </w:p>
        </w:tc>
        <w:tc>
          <w:tcPr>
            <w:tcW w:w="14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that May Yet Be</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980" w:type="dxa"/>
            <w:vAlign w:val="bottom"/>
          </w:tcPr>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Price Paid per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w:t>
            </w:r>
          </w:p>
        </w:tc>
        <w:tc>
          <w:tcPr>
            <w:tcW w:w="260" w:type="dxa"/>
            <w:vAlign w:val="bottom"/>
          </w:tcPr>
          <w:p>
            <w:pPr>
              <w:spacing w:after="0"/>
              <w:rPr>
                <w:sz w:val="15"/>
                <w:szCs w:val="15"/>
                <w:color w:val="auto"/>
              </w:rPr>
            </w:pPr>
          </w:p>
        </w:tc>
        <w:tc>
          <w:tcPr>
            <w:tcW w:w="14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980" w:type="dxa"/>
            <w:vAlign w:val="bottom"/>
          </w:tcPr>
          <w:p>
            <w:pPr>
              <w:jc w:val="center"/>
              <w:ind w:left="620"/>
              <w:spacing w:after="0"/>
              <w:rPr>
                <w:sz w:val="20"/>
                <w:szCs w:val="20"/>
                <w:color w:val="auto"/>
              </w:rPr>
            </w:pPr>
            <w:r>
              <w:rPr>
                <w:rFonts w:ascii="Times New Roman" w:cs="Times New Roman" w:eastAsia="Times New Roman" w:hAnsi="Times New Roman"/>
                <w:sz w:val="14"/>
                <w:szCs w:val="14"/>
                <w:b w:val="1"/>
                <w:bCs w:val="1"/>
                <w:color w:val="auto"/>
                <w:w w:val="98"/>
              </w:rPr>
              <w:t>Units)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Share (or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60" w:type="dxa"/>
            <w:vAlign w:val="bottom"/>
          </w:tcPr>
          <w:p>
            <w:pPr>
              <w:spacing w:after="0"/>
              <w:rPr>
                <w:sz w:val="15"/>
                <w:szCs w:val="15"/>
                <w:color w:val="auto"/>
              </w:rPr>
            </w:pPr>
          </w:p>
        </w:tc>
        <w:tc>
          <w:tcPr>
            <w:tcW w:w="14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the Plans or</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80" w:type="dxa"/>
            <w:vAlign w:val="bottom"/>
          </w:tcPr>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Unit)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60" w:type="dxa"/>
            <w:vAlign w:val="bottom"/>
          </w:tcPr>
          <w:p>
            <w:pPr>
              <w:spacing w:after="0"/>
              <w:rPr>
                <w:sz w:val="17"/>
                <w:szCs w:val="17"/>
                <w:color w:val="auto"/>
              </w:rPr>
            </w:pPr>
          </w:p>
        </w:tc>
        <w:tc>
          <w:tcPr>
            <w:tcW w:w="14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2025 - July 31, 2025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2,425,000</w:t>
            </w:r>
          </w:p>
        </w:tc>
        <w:tc>
          <w:tcPr>
            <w:tcW w:w="2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124.76</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2,425,000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6,990,672,440</w:t>
            </w:r>
          </w:p>
        </w:tc>
        <w:tc>
          <w:tcPr>
            <w:tcW w:w="3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2260" w:type="dxa"/>
            <w:vAlign w:val="bottom"/>
            <w:gridSpan w:val="2"/>
          </w:tcPr>
          <w:p>
            <w:pPr>
              <w:jc w:val="right"/>
              <w:ind w:right="47"/>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(1)</w:t>
            </w:r>
          </w:p>
        </w:tc>
        <w:tc>
          <w:tcPr>
            <w:tcW w:w="240" w:type="dxa"/>
            <w:vAlign w:val="bottom"/>
          </w:tcPr>
          <w:p>
            <w:pPr>
              <w:spacing w:after="0"/>
              <w:rPr>
                <w:sz w:val="19"/>
                <w:szCs w:val="19"/>
                <w:color w:val="auto"/>
              </w:rPr>
            </w:pP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72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 xml:space="preserve">6,990,672,440 </w:t>
            </w: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2025 - September 30, 2025</w:t>
            </w:r>
          </w:p>
        </w:tc>
        <w:tc>
          <w:tcPr>
            <w:tcW w:w="226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(1)</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8"/>
                <w:szCs w:val="18"/>
                <w:color w:val="auto"/>
              </w:rPr>
              <w:t xml:space="preserve">6,990,672,440 </w:t>
            </w: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34"/>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2,425,000</w:t>
            </w:r>
          </w:p>
        </w:tc>
        <w:tc>
          <w:tcPr>
            <w:tcW w:w="2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124.76</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2,425,000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6,990,672,440</w:t>
            </w:r>
          </w:p>
        </w:tc>
        <w:tc>
          <w:tcPr>
            <w:tcW w:w="3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do not include the shares surrendered to Abbott to satisfy tax withholding obligations in connection with the vesting of restricted stock or restricted stock units.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0"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10, 2021, the board of directors authorized the repurchase of up to $5 billion of Abbott common shares, from time to time (the "2021 Plan"). On October 11, 2024, the board of directors authorized the repurchase of up to $7 billion of Abbott common shares, from time to time (the "2024 Plan"). The 2024 Plan was in addition to the unused portion of the 2021 Plan. The amount available for repurchase under the remaining portion of the 2021 Plan has been fully utilized as part of the share repurchases in the third quarter of 2025.</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220" w:type="dxa"/>
            <w:vAlign w:val="bottom"/>
          </w:tcPr>
          <w:p>
            <w:pPr>
              <w:spacing w:after="0"/>
              <w:rPr>
                <w:sz w:val="17"/>
                <w:szCs w:val="17"/>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Exhibits</w:t>
            </w: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6"/>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0" w:type="dxa"/>
            <w:vAlign w:val="bottom"/>
            <w:gridSpan w:val="5"/>
          </w:tcPr>
          <w:p>
            <w:pPr>
              <w:ind w:left="316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3"/>
        </w:trPr>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53"/>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Required by Rule 13a-14(a) (17 CFR 240.13a-14(a)).</w:t>
            </w:r>
          </w:p>
        </w:tc>
      </w:tr>
      <w:tr>
        <w:trPr>
          <w:trHeight w:val="520"/>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Required by Rule 13a-14(a) (17 CFR 240.13a-14(a)).</w:t>
            </w:r>
          </w:p>
        </w:tc>
        <w:tc>
          <w:tcPr>
            <w:tcW w:w="40" w:type="dxa"/>
            <w:vAlign w:val="bottom"/>
            <w:tcBorders>
              <w:top w:val="single" w:sz="8" w:color="0000FF"/>
            </w:tcBorders>
          </w:tcPr>
          <w:p>
            <w:pPr>
              <w:spacing w:after="0"/>
              <w:rPr>
                <w:sz w:val="24"/>
                <w:szCs w:val="24"/>
                <w:color w:val="auto"/>
              </w:rPr>
            </w:pPr>
          </w:p>
        </w:tc>
        <w:tc>
          <w:tcPr>
            <w:tcW w:w="2840" w:type="dxa"/>
            <w:vAlign w:val="bottom"/>
            <w:gridSpan w:val="3"/>
          </w:tcPr>
          <w:p>
            <w:pPr>
              <w:spacing w:after="0"/>
              <w:rPr>
                <w:sz w:val="24"/>
                <w:szCs w:val="24"/>
                <w:color w:val="auto"/>
              </w:rPr>
            </w:pPr>
          </w:p>
        </w:tc>
      </w:tr>
      <w:tr>
        <w:trPr>
          <w:trHeight w:val="561"/>
        </w:trPr>
        <w:tc>
          <w:tcPr>
            <w:tcW w:w="109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Exhibits 32.1 and 32.2 are furnished herewith and should not be deemed to be “filed” under the Securities Exchange Act of 1934.</w:t>
            </w:r>
          </w:p>
        </w:tc>
      </w:tr>
      <w:tr>
        <w:trPr>
          <w:trHeight w:val="49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c>
          <w:tcPr>
            <w:tcW w:w="2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200" w:type="dxa"/>
            <w:vAlign w:val="bottom"/>
            <w:gridSpan w:val="5"/>
          </w:tcPr>
          <w:p>
            <w:pPr>
              <w:spacing w:after="0"/>
              <w:rPr>
                <w:sz w:val="17"/>
                <w:szCs w:val="17"/>
                <w:color w:val="auto"/>
              </w:rPr>
            </w:pPr>
          </w:p>
        </w:tc>
      </w:tr>
      <w:tr>
        <w:trPr>
          <w:trHeight w:val="520"/>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16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bl>
    <w:p>
      <w:pPr>
        <w:spacing w:after="0" w:line="333" w:lineRule="exact"/>
        <w:rPr>
          <w:sz w:val="20"/>
          <w:szCs w:val="20"/>
          <w:color w:val="auto"/>
        </w:rPr>
      </w:pPr>
    </w:p>
    <w:p>
      <w:pPr>
        <w:jc w:val="both"/>
        <w:ind w:left="1320" w:right="40" w:hanging="1294"/>
        <w:spacing w:after="0" w:line="258" w:lineRule="auto"/>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and notes from the Abbott Laboratories Quarterly Report on Form 10-Q for the quarter and nine months ended September 30, 2025, formatted in Inline XBRL: (i) Condensed Consolidated Statement of Earnings; (ii) Condensed Consolidated Statement of Comprehensive Income; (iii) Condensed Consolidated Balance Sheet; (iv) Condensed Consolidated Statement of Shareholders’ Investment; (v) Condensed Consolidated Statement of Cash Flows; and (vi) Notes to the Condensed Consolidated Financial Statements.</w:t>
      </w:r>
    </w:p>
    <w:p>
      <w:pPr>
        <w:spacing w:after="0" w:line="291" w:lineRule="exact"/>
        <w:rPr>
          <w:sz w:val="20"/>
          <w:szCs w:val="20"/>
          <w:color w:val="auto"/>
        </w:rPr>
      </w:pPr>
    </w:p>
    <w:p>
      <w:pPr>
        <w:ind w:left="1320" w:right="20" w:hanging="1294"/>
        <w:spacing w:after="0" w:line="282" w:lineRule="auto"/>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 and included in Exhibit 101).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37" w:right="6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ABBOTT LABORATORIES</w:t>
      </w:r>
    </w:p>
    <w:p>
      <w:pPr>
        <w:spacing w:after="0" w:line="293"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PHILIP P. BOUDREAU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8144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Philip P. Boudreau</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Executive Vice President, Finance</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3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Date: October 29,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33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Required by Rule 13a-14(a) (17 CFR 240.13a-14(a))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B. Ford,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Abbott Laboratories;</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Abbott’s other certifying officer and I are responsible for establishing and maintaining disclosure controls and procedures (as defined in Exchange Act Rules 13a-15(e) and 15d-15(e)) and internal control over financial reporting (as defined in Exchange Act Rules 13a-15(f) and 15d-15(f)) for Abbott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312" w:lineRule="auto"/>
        <w:tabs>
          <w:tab w:leader="none" w:pos="96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spacing w:after="0" w:line="139" w:lineRule="exact"/>
        <w:rPr>
          <w:rFonts w:ascii="Times New Roman" w:cs="Times New Roman" w:eastAsia="Times New Roman" w:hAnsi="Times New Roman"/>
          <w:sz w:val="17"/>
          <w:szCs w:val="17"/>
          <w:color w:val="auto"/>
        </w:rPr>
      </w:pPr>
    </w:p>
    <w:p>
      <w:pPr>
        <w:ind w:left="660" w:right="10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Abbott’s other certifying officer and I have disclosed, based on our most recent evaluation of internal control over financial reporting, to Abbott’s auditors and the audit committee of Abbott’s board of directors: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Abbott’s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6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Abbott’s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B. FORD</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B. Ford</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bl>
    <w:p>
      <w:pPr>
        <w:sectPr>
          <w:pgSz w:w="11900" w:h="16838" w:orient="portrait"/>
          <w:cols w:equalWidth="0" w:num="1">
            <w:col w:w="11240"/>
          </w:cols>
          <w:pgMar w:left="320" w:top="114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Required by Rule 13a-14(a) (17 CFR 240.13a-14(a))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P. Boudreau,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Abbott Laboratories;</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Abbott’s other certifying officer and I are responsible for establishing and maintaining disclosure controls and procedures (as defined in Exchange Act Rules 13a-15(e) and 15d-15(e)) and internal control over financial reporting (as defined in Exchange Act Rules 13a-15(f) and 15d-15(f)) for Abbott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312" w:lineRule="auto"/>
        <w:tabs>
          <w:tab w:leader="none" w:pos="96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spacing w:after="0" w:line="139" w:lineRule="exact"/>
        <w:rPr>
          <w:rFonts w:ascii="Times New Roman" w:cs="Times New Roman" w:eastAsia="Times New Roman" w:hAnsi="Times New Roman"/>
          <w:sz w:val="17"/>
          <w:szCs w:val="17"/>
          <w:color w:val="auto"/>
        </w:rPr>
      </w:pPr>
    </w:p>
    <w:p>
      <w:pPr>
        <w:ind w:left="660" w:right="10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Abbott’s other certifying officer and I have disclosed, based on our most recent evaluation of internal control over financial reporting, to Abbott’s auditors and the audit committee of Abbott’s board of directors: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Abbott’s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Abbott’s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PHILIP P. BOUDREAU</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P. Boudreau</w:t>
            </w:r>
          </w:p>
        </w:tc>
      </w:tr>
      <w:tr>
        <w:trPr>
          <w:trHeight w:val="180"/>
        </w:trPr>
        <w:tc>
          <w:tcPr>
            <w:tcW w:w="5600" w:type="dxa"/>
            <w:vAlign w:val="bottom"/>
          </w:tcPr>
          <w:p>
            <w:pPr>
              <w:spacing w:after="0"/>
              <w:rPr>
                <w:sz w:val="15"/>
                <w:szCs w:val="15"/>
                <w:color w:val="auto"/>
              </w:rPr>
            </w:pPr>
          </w:p>
        </w:tc>
        <w:tc>
          <w:tcPr>
            <w:tcW w:w="5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Finance</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ectPr>
          <w:pgSz w:w="11900" w:h="16838" w:orient="portrait"/>
          <w:cols w:equalWidth="0" w:num="1">
            <w:col w:w="11240"/>
          </w:cols>
          <w:pgMar w:left="320" w:top="114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Abbott Laboratories (the “Company”) on Form 10-Q for the period ended September 30, 2025 as filed with the Securities and Exchange Commission (the “Report”), I, Robert B. Ford, Chairman of the Board and Chief Executive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B.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059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B. Ford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29, 2025</w:t>
      </w:r>
    </w:p>
    <w:p>
      <w:pPr>
        <w:spacing w:after="0" w:line="31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Abbott Laboratories and will be retained by Abbott Laboratories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Abbott Laboratories (the “Company”) on Form 10-Q for the period ended September 30, 2025 as filed with the Securities and Exchange Commission (the “Report”), I, Philip B. Boudreau, Executive Vice President, Finance and Chief Financial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PHILIP P. BOUDREAU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059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Philip P. Boudreau</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w:t>
      </w:r>
    </w:p>
    <w:p>
      <w:pPr>
        <w:ind w:left="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29, 2025</w:t>
      </w:r>
    </w:p>
    <w:p>
      <w:pPr>
        <w:spacing w:after="0" w:line="32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Abbott Laboratories and will be retained by Abbott Laboratories and furnished to the Securities and Exchange Commission or its staff upon request.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3"/>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3"/>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01"/>
    </w:lvl>
  </w:abstractNum>
  <w:abstractNum w:abstractNumId="8">
    <w:nsid w:val="1F16E9E8"/>
    <w:multiLevelType w:val="hybridMultilevel"/>
    <w:lvl w:ilvl="0">
      <w:lvlJc w:val="left"/>
      <w:lvlText w:val="%1"/>
      <w:numFmt w:val="decimal"/>
      <w:start w:val="104"/>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2025-10-29T15:42:30Z</dcterms:created>
  <dcterms:modified xsi:type="dcterms:W3CDTF">2025-10-29T15:42:30Z</dcterms:modified>
</cp:coreProperties>
</file>