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4905d7_8k.htm"/>
      <w:bookmarkStart w:id="1" w:name="kstm264905d7_8k"/>
      <w:bookmarkStart w:id="2" w:name="tm264905d7_8k.htm"/>
      <w:bookmarkStart w:id="3" w:name="kstm264905d7_8k"/>
      <w:bookmarkEnd w:id="2"/>
      <w:bookmarkEnd w:id="3"/>
    </w:p>
    <w:tbl>
      <w:tblPr>
        <w:tblW w:w="3864" w:type="dxa"/>
        <w:jc w:val="left"/>
        <w:tblInd w:w="0" w:type="dxa"/>
        <w:tblLayout w:type="fixed"/>
        <w:tblCellMar>
          <w:top w:w="28" w:type="dxa"/>
          <w:left w:w="28" w:type="dxa"/>
          <w:bottom w:w="28" w:type="dxa"/>
          <w:right w:w="28" w:type="dxa"/>
        </w:tblCellMar>
      </w:tblPr>
      <w:tblGrid>
        <w:gridCol w:w="3031"/>
        <w:gridCol w:w="146"/>
        <w:gridCol w:w="496"/>
        <w:gridCol w:w="191"/>
      </w:tblGrid>
      <w:tr>
        <w:trPr/>
        <w:tc>
          <w:tcPr>
            <w:tcW w:w="3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 w:name="xdx_907_edei--Security12bTitle_dxL_c2026"/>
            <w:bookmarkEnd w:id="4"/>
            <w:r>
              <w:rPr>
                <w:rFonts w:ascii="Times New Roman;Times;Serif" w:hAnsi="Times New Roman;Times;Serif"/>
                <w:b w:val="false"/>
                <w:i w:val="false"/>
                <w:caps w:val="false"/>
                <w:smallCaps w:val="false"/>
                <w:sz w:val="20"/>
              </w:rPr>
              <w:t>Common Shares, Without Par Value</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A_edei--TradingSymbol_dxL_c2026022"/>
            <w:bookmarkEnd w:id="5"/>
            <w:r>
              <w:rPr>
                <w:rFonts w:ascii="Times New Roman;Times;Serif" w:hAnsi="Times New Roman;Times;Serif"/>
                <w:b w:val="false"/>
                <w:i w:val="false"/>
                <w:caps w:val="false"/>
                <w:smallCaps w:val="false"/>
                <w:sz w:val="20"/>
              </w:rPr>
              <w:t>ABT</w:t>
            </w:r>
          </w:p>
        </w:tc>
        <w:tc>
          <w:tcPr>
            <w:tcW w:w="19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bookmarkStart w:id="6" w:name="xdx_917_eexch--XCHI_zSUvgP4lp1ci"/>
            <w:bookmarkEnd w:id="6"/>
            <w:r>
              <w:rPr/>
              <w:t>NYSE Texas [Member]</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w:t>
      </w:r>
      <w:bookmarkStart w:id="7" w:name="xdx_907_edei--DocumentType_c20260223__20"/>
      <w:bookmarkEnd w:id="7"/>
      <w:r>
        <w:rPr>
          <w:rFonts w:ascii="Times New Roman;Times;Serif" w:hAnsi="Times New Roman;Times;Serif"/>
          <w:b/>
          <w:i w:val="false"/>
          <w:caps w:val="false"/>
          <w:smallCaps w:val="false"/>
          <w:sz w:val="24"/>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DocumentPeriodEndDate_c202"/>
      <w:bookmarkEnd w:id="8"/>
      <w:r>
        <w:rPr>
          <w:rFonts w:ascii="Times New Roman;Times;Serif" w:hAnsi="Times New Roman;Times;Serif"/>
          <w:b/>
          <w:i w:val="false"/>
          <w:caps w:val="false"/>
          <w:smallCaps w:val="false"/>
          <w:sz w:val="20"/>
        </w:rPr>
        <w:t>February 23,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9" w:name="xdx_904_edei--EntityRegistrantName_c2026"/>
      <w:bookmarkEnd w:id="9"/>
      <w:r>
        <w:rPr>
          <w:rFonts w:ascii="Times New Roman;Times;Serif" w:hAnsi="Times New Roman;Times;Serif"/>
          <w:b/>
          <w:i w:val="false"/>
          <w:caps w:val="false"/>
          <w:smallCaps w:val="false"/>
          <w:sz w:val="28"/>
        </w:rPr>
        <w:t>ABBOTT LABORATORIES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2375"/>
        <w:gridCol w:w="60"/>
        <w:gridCol w:w="2135"/>
        <w:gridCol w:w="60"/>
        <w:gridCol w:w="2510"/>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4_edei--EntityIncorporationStateCo"/>
            <w:bookmarkEnd w:id="10"/>
            <w:r>
              <w:rPr>
                <w:rFonts w:ascii="Times New Roman;Times;Serif" w:hAnsi="Times New Roman;Times;Serif"/>
                <w:b/>
                <w:i w:val="false"/>
                <w:caps w:val="false"/>
                <w:smallCaps w:val="false"/>
                <w:sz w:val="20"/>
              </w:rPr>
              <w:t>Illinois</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FileNumber_c20260223"/>
            <w:bookmarkEnd w:id="11"/>
            <w:r>
              <w:rPr>
                <w:rFonts w:ascii="Times New Roman;Times;Serif" w:hAnsi="Times New Roman;Times;Serif"/>
                <w:b/>
                <w:i w:val="false"/>
                <w:caps w:val="false"/>
                <w:smallCaps w:val="false"/>
                <w:sz w:val="20"/>
              </w:rPr>
              <w:t>1-2189</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TaxIdentificationNum"/>
            <w:bookmarkEnd w:id="12"/>
            <w:r>
              <w:rPr>
                <w:rFonts w:ascii="Times New Roman;Times;Serif" w:hAnsi="Times New Roman;Times;Serif"/>
                <w:b/>
                <w:i w:val="false"/>
                <w:caps w:val="false"/>
                <w:smallCaps w:val="false"/>
                <w:sz w:val="20"/>
              </w:rPr>
              <w:t>36-0698440</w:t>
            </w:r>
          </w:p>
        </w:tc>
      </w:tr>
      <w:tr>
        <w:trPr/>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9_edei--EntityAddressAddressLine1_"/>
      <w:bookmarkEnd w:id="13"/>
      <w:r>
        <w:rPr>
          <w:rFonts w:ascii="Times New Roman;Times;Serif" w:hAnsi="Times New Roman;Times;Serif"/>
          <w:b/>
          <w:i w:val="false"/>
          <w:caps w:val="false"/>
          <w:smallCaps w:val="false"/>
          <w:sz w:val="20"/>
        </w:rPr>
        <w:t>100 Abbott Park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1_edei--EntityAddressCityOrTown_c2"/>
      <w:bookmarkEnd w:id="14"/>
      <w:r>
        <w:rPr>
          <w:rFonts w:ascii="Times New Roman;Times;Serif" w:hAnsi="Times New Roman;Times;Serif"/>
          <w:b/>
          <w:i w:val="false"/>
          <w:caps w:val="false"/>
          <w:smallCaps w:val="false"/>
          <w:sz w:val="20"/>
        </w:rPr>
        <w:t xml:space="preserve">Abbott Park, </w:t>
      </w:r>
      <w:bookmarkStart w:id="15" w:name="xdx_906_edei--EntityAddressStateOrProvin"/>
      <w:bookmarkEnd w:id="15"/>
      <w:r>
        <w:rPr>
          <w:rFonts w:ascii="Times New Roman;Times;Serif" w:hAnsi="Times New Roman;Times;Serif"/>
          <w:b/>
          <w:i w:val="false"/>
          <w:caps w:val="false"/>
          <w:smallCaps w:val="false"/>
          <w:sz w:val="20"/>
        </w:rPr>
        <w:t xml:space="preserve">Illinois </w:t>
      </w:r>
      <w:bookmarkStart w:id="16" w:name="xdx_905_edei--EntityAddressPostalZipCode"/>
      <w:bookmarkEnd w:id="16"/>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7" w:name="xdx_907_edei--CityAreaCode_c20260223__20"/>
      <w:bookmarkEnd w:id="17"/>
      <w:r>
        <w:rPr>
          <w:rFonts w:ascii="Times New Roman;Times;Serif" w:hAnsi="Times New Roman;Times;Serif"/>
          <w:b/>
          <w:i w:val="false"/>
          <w:caps w:val="false"/>
          <w:smallCaps w:val="false"/>
          <w:sz w:val="20"/>
        </w:rPr>
        <w:t xml:space="preserve">224) </w:t>
      </w:r>
      <w:bookmarkStart w:id="18" w:name="xdx_906_edei--LocalPhoneNumber_c20260223"/>
      <w:bookmarkEnd w:id="18"/>
      <w:r>
        <w:rPr>
          <w:rFonts w:ascii="Times New Roman;Times;Serif" w:hAnsi="Times New Roman;Times;Serif"/>
          <w:b/>
          <w:i w:val="false"/>
          <w:caps w:val="false"/>
          <w:smallCaps w:val="false"/>
          <w:sz w:val="20"/>
        </w:rPr>
        <w:t>667-6100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hanging="432"/>
        <w:jc w:val="left"/>
        <w:rPr/>
      </w:pPr>
      <w:bookmarkStart w:id="19" w:name="xdx_909_edei--WrittenCommunications_c202"/>
      <w:bookmarkEnd w:id="19"/>
      <w:r>
        <w:rPr>
          <w:caps w:val="false"/>
          <w:smallCaps w:val="false"/>
        </w:rPr>
        <w:t>☐</w:t>
      </w:r>
      <w:r>
        <w:rPr/>
        <w:t xml:space="preserve">        </w:t>
      </w:r>
      <w:r>
        <w:rPr>
          <w:sz w:val="20"/>
        </w:rPr>
        <w:t>Written communications pursuant to Rule 425 under the Securities Act (17 CFR 230.425)</w:t>
      </w:r>
    </w:p>
    <w:p>
      <w:pPr>
        <w:pStyle w:val="TextBody"/>
        <w:bidi w:val="0"/>
        <w:spacing w:before="0" w:after="0"/>
        <w:ind w:left="432" w:right="0" w:hanging="432"/>
        <w:jc w:val="left"/>
        <w:rPr/>
      </w:pPr>
      <w:bookmarkStart w:id="20" w:name="xdx_902_edei--SolicitingMaterial_c202602"/>
      <w:bookmarkEnd w:id="20"/>
      <w:r>
        <w:rPr>
          <w:caps w:val="false"/>
          <w:smallCaps w:val="false"/>
        </w:rPr>
        <w:t>☐</w:t>
      </w:r>
      <w:r>
        <w:rPr/>
        <w:t xml:space="preserve">        </w:t>
      </w:r>
      <w:r>
        <w:rPr>
          <w:sz w:val="20"/>
        </w:rPr>
        <w:t>Soliciting material pursuant to Rule 14a-12 under the Exchange Act (17 CFR 240.14a-12)</w:t>
      </w:r>
    </w:p>
    <w:p>
      <w:pPr>
        <w:pStyle w:val="TextBody"/>
        <w:bidi w:val="0"/>
        <w:spacing w:before="0" w:after="0"/>
        <w:ind w:left="432" w:right="0" w:hanging="432"/>
        <w:jc w:val="left"/>
        <w:rPr/>
      </w:pPr>
      <w:bookmarkStart w:id="21" w:name="xdx_904_edei--PreCommencementTenderOffer"/>
      <w:bookmarkEnd w:id="21"/>
      <w:r>
        <w:rPr>
          <w:caps w:val="false"/>
          <w:smallCaps w:val="false"/>
        </w:rPr>
        <w:t>☐</w:t>
      </w:r>
      <w:r>
        <w:rPr/>
        <w:t xml:space="preserve">        </w:t>
      </w:r>
      <w:r>
        <w:rPr>
          <w:sz w:val="20"/>
        </w:rPr>
        <w:t>Pre-commencement communications pursuant to Rule 14d-2(b) under the Exchange Act (17 CFR 240.14d-2(b))</w:t>
      </w:r>
    </w:p>
    <w:p>
      <w:pPr>
        <w:pStyle w:val="TextBody"/>
        <w:bidi w:val="0"/>
        <w:spacing w:before="0" w:after="0"/>
        <w:ind w:left="432" w:right="0" w:hanging="432"/>
        <w:jc w:val="left"/>
        <w:rPr/>
      </w:pPr>
      <w:bookmarkStart w:id="22" w:name="xdx_901_edei--PreCommencementIssuerTende"/>
      <w:bookmarkEnd w:id="22"/>
      <w:r>
        <w:rPr>
          <w:caps w:val="false"/>
          <w:smallCaps w:val="false"/>
        </w:rPr>
        <w:t>☐</w:t>
      </w:r>
      <w:r>
        <w:rPr/>
        <w:t xml:space="preserve">        </w:t>
      </w:r>
      <w:r>
        <w:rPr>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40" w:type="dxa"/>
          <w:left w:w="0" w:type="dxa"/>
          <w:bottom w:w="40" w:type="dxa"/>
          <w:right w:w="40" w:type="dxa"/>
        </w:tblCellMar>
      </w:tblPr>
      <w:tblGrid>
        <w:gridCol w:w="2930"/>
        <w:gridCol w:w="860"/>
        <w:gridCol w:w="2195"/>
      </w:tblGrid>
      <w:tr>
        <w:trPr/>
        <w:tc>
          <w:tcPr>
            <w:tcW w:w="293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2195" w:type="dxa"/>
            <w:tcBorders>
              <w:top w:val="double" w:sz="6" w:space="0" w:color="000000"/>
              <w:bottom w:val="single" w:sz="8" w:space="0" w:color="000000"/>
            </w:tcBorders>
            <w:tcMar>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93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3" w:name="xdx_907_edei--Security12bTitle_c20260223"/>
            <w:bookmarkEnd w:id="23"/>
            <w:r>
              <w:rPr>
                <w:rFonts w:ascii="Times New Roman;Times;Serif" w:hAnsi="Times New Roman;Times;Serif"/>
                <w:sz w:val="20"/>
              </w:rPr>
              <w:t>Common Shares, Without Par Value</w:t>
            </w:r>
          </w:p>
        </w:tc>
        <w:tc>
          <w:tcPr>
            <w:tcW w:w="86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4" w:name="xdx_901_edei--TradingSymbol_c20260223__2"/>
            <w:bookmarkEnd w:id="24"/>
            <w:r>
              <w:rPr>
                <w:rFonts w:ascii="Times New Roman;Times;Serif" w:hAnsi="Times New Roman;Times;Serif"/>
                <w:sz w:val="20"/>
              </w:rPr>
              <w:t>ABT</w:t>
            </w:r>
          </w:p>
        </w:tc>
        <w:tc>
          <w:tcPr>
            <w:tcW w:w="2195" w:type="dxa"/>
            <w:tcBorders>
              <w:bottom w:val="double" w:sz="6" w:space="0" w:color="000000"/>
            </w:tcBorders>
            <w:tcMar>
              <w:top w:w="0" w:type="dxa"/>
              <w:right w:w="0" w:type="dxa"/>
            </w:tcMar>
            <w:vAlign w:val="center"/>
          </w:tcPr>
          <w:p>
            <w:pPr>
              <w:pStyle w:val="TableContents"/>
              <w:bidi w:val="0"/>
              <w:spacing w:before="0" w:after="283"/>
              <w:jc w:val="center"/>
              <w:rPr/>
            </w:pPr>
            <w:bookmarkStart w:id="25" w:name="xdx_90D_edei--SecurityExchangeName_c2026"/>
            <w:bookmarkEnd w:id="25"/>
            <w:r>
              <w:rPr>
                <w:rFonts w:ascii="Times New Roman;Times;Serif" w:hAnsi="Times New Roman;Times;Serif"/>
                <w:sz w:val="20"/>
              </w:rPr>
              <w:t>New York Stock Exchange</w:t>
              <w:br/>
            </w:r>
            <w:bookmarkStart w:id="26" w:name="xdx_90E_edei--SecurityExchangeName_c2026"/>
            <w:bookmarkEnd w:id="26"/>
            <w:r>
              <w:rPr>
                <w:rFonts w:ascii="Times New Roman;Times;Serif" w:hAnsi="Times New Roman;Times;Serif"/>
                <w:sz w:val="20"/>
              </w:rPr>
              <w:t>NYSE Texas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b w:val="false"/>
          <w:i w:val="false"/>
          <w:caps w:val="false"/>
          <w:smallCaps w:val="false"/>
          <w:sz w:val="20"/>
        </w:rPr>
        <w:t>Emerging growth company  </w:t>
      </w:r>
      <w:bookmarkStart w:id="27" w:name="xdx_908_edei--EntityEmergingGrowthCompan"/>
      <w:bookmarkEnd w:id="27"/>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Abbott Laboratories (“Abbott”) entered into a pricing agreement (the “Pricing Agreement”), dated February 23, 2026, by and among Abbott, Morgan Stanley &amp; Co. LLC, Barclays Capital Inc., BofA Securities, Inc. and J.P. Morgan Securities LLC, for themselves and as representatives of the several other underwriters named therein (the “Underwriters”), pursuant to which Abbott agreed to issue and sell $20,000,000,000 aggregate principal amount of senior notes, consisting of $1,000,000,000 aggregate principal amount of its Floating Rate Notes due 2029 (the “Floating Rate Notes”), $2,250,000,000 aggregate principal amount of its 3.700% Notes due 2029 (the “2029 Notes”), $2,500,000,000 aggregate principal amount of its 4.000% Notes due 2031 (the “2031 Notes”), $2,750,000,000 aggregate principal amount of its 4.300% Notes due 2033 (the “2033 Notes”), $3,750,000,000 aggregate principal amount of its 4.650% Notes due 2036 (the “2036 Notes”), $2,000,000,000 aggregate principal amount of its 4.750% Notes due 2038 (the “2038 Notes”), $3,750,000,000 aggregate principal amount of its 5.500% Notes due 2056 (the “2056 Notes”) and $2,000,000,000 aggregate principal amount of its 5.600% Notes due 2066 (the “2066 Notes” and, together with the 2029 Notes, the 2031 Notes, the 2033 Notes, the 2036 Notes, the 2038 Notes and the 2056 Notes, the “Fixed Rate Notes” and the Fixed Rate Notes together with the Floating Rate Notes,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Agreement includes customary representations, warranties and covenants by Abbott. It also provides for customary indemnification by each of Abbott and the respective Underwriters against certain liabilities and customary contribution provisions in respect of those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Notes were offered pursuant to the Prospectus Supplement dated February 23, 2026, filed with the Securities and Exchange Commission (the “SEC”) on February 25, 2026 (the “Prospectus Supplement”), and the Prospectus dated February 23, 2026, filed as part of the shelf registration statement (File No. 333-293636) that became effective under the Securities Act of 1933, as amended, when filed with the SEC on February 23, 2026. The terms of the Notes are further described in the Prospectus Supplement. The closing of the sale of the Notes is expected to occur on March 9, 2026, subject to customary closing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intends to use the net proceeds from the Notes offering, together with cash on hand and/or additional borrowings (which may include, among other things, issuances of commercial paper), to fund the consideration for the acquisition of Exact Sciences Corporation (“Exact Sciences”), to repay certain indebtedness of Exact Sciences, to pay related fees and expenses, and for general corporate purposes, which may include, without limitation, the repayment of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Prospectus Supplement for additional information regarding the Notes offering and the terms and conditions of the Notes. The foregoing summary of the Pricing Agreement does not purport to be complete and is qualified in its entirety by reference to the full text of the Pricing Agreement filed as Exhibit 1.1 hereto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995"/>
        <w:gridCol w:w="60"/>
        <w:gridCol w:w="8630"/>
      </w:tblGrid>
      <w:tr>
        <w:trPr/>
        <w:tc>
          <w:tcPr>
            <w:tcW w:w="9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4905d7_ex1-1.htm">
              <w:r>
                <w:rPr>
                  <w:rStyle w:val="InternetLink"/>
                  <w:rFonts w:ascii="Times New Roman;Times;Serif" w:hAnsi="Times New Roman;Times;Serif"/>
                  <w:sz w:val="20"/>
                </w:rPr>
                <w:t>1.1</w:t>
              </w:r>
            </w:hyperlink>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hyperlink w:anchor="tm264905d7_ex1-1.htm">
              <w:r>
                <w:rPr>
                  <w:rStyle w:val="InternetLink"/>
                  <w:rFonts w:ascii="Times New Roman;Times;Serif" w:hAnsi="Times New Roman;Times;Serif"/>
                  <w:sz w:val="20"/>
                </w:rPr>
                <w:t>Pricing Agreement.</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about, among other things, the proposed acquisition of Exact Sciences by Abbott, the expected closing date of the offering of the Notes and the use of proceeds therefrom. Forward-looking statements involve substantial risks and uncertainties that could cause actual results to differ materially from those expressed or implied by such statements. Abbott cautions that these forward-looking statements are subject to risks and uncertainties, including the risks related to the proposed acquisition of Exact Sciences, that may cause actual results to differ materially from those indicated in the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foregoing and the other risks and uncertainties that affect the business of Abbott described in the “Risk Factors” section in each of the Prospectus Supplement, Abbott’s Annual Report on Form 10-K for the year ended December 31, 2025, and Abbott’s other reports filed with the SEC. Free copies of these documents may be obtained from the SEC’s website at www.sec.gov. Forward-looking statements speak only as of the date they are made. Readers are cautioned not to put undue reliance on forward-looking statements, and Abbott undertakes no obligation, and does not intend, to release publicly any revisions to forward-looking statements as a result of subsequent events or developments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360"/>
        <w:gridCol w:w="320"/>
        <w:gridCol w:w="5060"/>
      </w:tblGrid>
      <w:tr>
        <w:trPr/>
        <w:tc>
          <w:tcPr>
            <w:tcW w:w="2360" w:type="dxa"/>
            <w:tcBorders/>
            <w:vAlign w:val="center"/>
          </w:tcPr>
          <w:p>
            <w:pPr>
              <w:pStyle w:val="TableContents"/>
              <w:bidi w:val="0"/>
              <w:spacing w:before="0" w:after="283"/>
              <w:jc w:val="left"/>
              <w:rPr>
                <w:sz w:val="4"/>
                <w:szCs w:val="4"/>
              </w:rPr>
            </w:pPr>
            <w:r>
              <w:rPr>
                <w:sz w:val="4"/>
                <w:szCs w:val="4"/>
              </w:rPr>
            </w:r>
          </w:p>
        </w:tc>
        <w:tc>
          <w:tcPr>
            <w:tcW w:w="5380" w:type="dxa"/>
            <w:gridSpan w:val="2"/>
            <w:tcBorders/>
            <w:vAlign w:val="center"/>
          </w:tcPr>
          <w:p>
            <w:pPr>
              <w:pStyle w:val="TableContents"/>
              <w:bidi w:val="0"/>
              <w:spacing w:before="0" w:after="283"/>
              <w:jc w:val="left"/>
              <w:rPr>
                <w:b/>
              </w:rPr>
            </w:pPr>
            <w:r>
              <w:rPr>
                <w:b/>
              </w:rPr>
              <w:t>ABBOTT LABORATORIES</w:t>
            </w:r>
          </w:p>
        </w:tc>
      </w:tr>
      <w:tr>
        <w:trPr/>
        <w:tc>
          <w:tcPr>
            <w:tcW w:w="2360" w:type="dxa"/>
            <w:tcBorders/>
            <w:vAlign w:val="center"/>
          </w:tcPr>
          <w:p>
            <w:pPr>
              <w:pStyle w:val="TableContents"/>
              <w:bidi w:val="0"/>
              <w:spacing w:before="0" w:after="283"/>
              <w:jc w:val="left"/>
              <w:rPr/>
            </w:pPr>
            <w:r>
              <w:rPr/>
              <w:t> </w:t>
            </w:r>
          </w:p>
        </w:tc>
        <w:tc>
          <w:tcPr>
            <w:tcW w:w="5380" w:type="dxa"/>
            <w:gridSpan w:val="2"/>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Date: February 26,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60" w:type="dxa"/>
            <w:tcBorders>
              <w:bottom w:val="single" w:sz="8" w:space="0" w:color="000000"/>
            </w:tcBorders>
            <w:tcMar>
              <w:bottom w:w="28" w:type="dxa"/>
            </w:tcMar>
            <w:vAlign w:val="center"/>
          </w:tcPr>
          <w:p>
            <w:pPr>
              <w:pStyle w:val="TableContents"/>
              <w:bidi w:val="0"/>
              <w:spacing w:before="0" w:after="283"/>
              <w:jc w:val="left"/>
              <w:rPr/>
            </w:pPr>
            <w:r>
              <w:rPr/>
              <w:t>/s/ Philip P. Boudreau </w:t>
            </w:r>
          </w:p>
        </w:tc>
      </w:tr>
      <w:tr>
        <w:trPr/>
        <w:tc>
          <w:tcPr>
            <w:tcW w:w="23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pPr>
            <w:r>
              <w:rPr/>
              <w:t>Philip P. Boudreau</w:t>
            </w:r>
          </w:p>
        </w:tc>
      </w:tr>
      <w:tr>
        <w:trPr/>
        <w:tc>
          <w:tcPr>
            <w:tcW w:w="23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8" w:name="tm264905d7_ex1-1.htm"/>
      <w:bookmarkStart w:id="29" w:name="kstm264905d7_ex11"/>
      <w:bookmarkEnd w:id="28"/>
      <w:bookmarkEnd w:id="29"/>
      <w:r>
        <w:rPr/>
        <w:t> </w:t>
      </w:r>
      <w:r>
        <w:br w:type="page"/>
      </w:r>
    </w:p>
    <w:p>
      <w:pPr>
        <w:pStyle w:val="TextBody"/>
        <w:bidi w:val="0"/>
        <w:jc w:val="right"/>
        <w:rPr>
          <w:b/>
        </w:rPr>
      </w:pPr>
      <w:r>
        <w:rPr>
          <w:b/>
        </w:rPr>
        <w:t>Exhibit 1.1</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br/>
        <w:t>1585 Broadway</w:t>
        <w:b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w:t>
        <w:br/>
        <w:t>Underwriters 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Laboratories, an Illinois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subject to the terms and conditions stated herein and in the Underwriting Agreement, dated March 5, 2015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between the Company and the Representatives of the several Underwriters to issue and sell to the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the Securities specified in Schedule II hereto (the “</w:t>
      </w:r>
      <w:r>
        <w:rPr>
          <w:rFonts w:ascii="Times New Roman;Times;Serif" w:hAnsi="Times New Roman;Times;Serif"/>
          <w:b/>
          <w:i w:val="false"/>
          <w:caps w:val="false"/>
          <w:smallCaps w:val="false"/>
          <w:sz w:val="20"/>
        </w:rPr>
        <w:t>Designated Securities</w:t>
      </w:r>
      <w:r>
        <w:rPr>
          <w:rFonts w:ascii="Times New Roman;Times;Serif" w:hAnsi="Times New Roman;Times;Serif"/>
          <w:b w:val="false"/>
          <w:i w:val="false"/>
          <w:caps w:val="false"/>
          <w:smallCaps w:val="false"/>
          <w:sz w:val="20"/>
        </w:rPr>
        <w:t>”).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1 of the Underwriting Agreement shall be deemed to be a representation or warranty as of the S-3 Filing Date (as defined below)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10 of the Underwriting Agreement and the address of the Representatives referred to in such Section 10 are set forth at the end of Schedule II hereto. The Permitted Free Writing Prospectuses relating to the Designated Securities are attached hereto as 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Commission an automatic shelf registration statement, as defined in Rule 405 under the Securities Act, on Form S-3 (File No. 333-293636) on February 23, 2026 (the “</w:t>
      </w:r>
      <w:r>
        <w:rPr>
          <w:rFonts w:ascii="Times New Roman;Times;Serif" w:hAnsi="Times New Roman;Times;Serif"/>
          <w:b/>
          <w:i w:val="false"/>
          <w:caps w:val="false"/>
          <w:smallCaps w:val="false"/>
          <w:sz w:val="20"/>
        </w:rPr>
        <w:t>S-3 Filing Date</w:t>
      </w:r>
      <w:r>
        <w:rPr>
          <w:rFonts w:ascii="Times New Roman;Times;Serif" w:hAnsi="Times New Roman;Times;Serif"/>
          <w:b w:val="false"/>
          <w:i w:val="false"/>
          <w:caps w:val="false"/>
          <w:smallCaps w:val="false"/>
          <w:sz w:val="20"/>
        </w:rPr>
        <w:t>”) relating to the Securities. References to the “Registration Statement,” as used with respect to the Designated Securities, means the registration statement with such file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Registration Statement, or a supplement to the Prospectus, as the case may be, relating to the Designated Securities, in the form heretofore delivered to you is now proposed to be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Designated Securities is being made in connection with the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dated as of November 19, 2025, by and among the Company, Exact Sciences Corporation, a Delaware corporation (“</w:t>
      </w:r>
      <w:r>
        <w:rPr>
          <w:rFonts w:ascii="Times New Roman;Times;Serif" w:hAnsi="Times New Roman;Times;Serif"/>
          <w:b/>
          <w:i w:val="false"/>
          <w:caps w:val="false"/>
          <w:smallCaps w:val="false"/>
          <w:sz w:val="20"/>
        </w:rPr>
        <w:t>Exact Sciences</w:t>
      </w:r>
      <w:r>
        <w:rPr>
          <w:rFonts w:ascii="Times New Roman;Times;Serif" w:hAnsi="Times New Roman;Times;Serif"/>
          <w:b w:val="false"/>
          <w:i w:val="false"/>
          <w:caps w:val="false"/>
          <w:smallCaps w:val="false"/>
          <w:sz w:val="20"/>
        </w:rPr>
        <w:t>”), and Badger Merger Sub I, Inc., a Delaware corporation and a wholly owned subsidiary of the Company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pursuant to which, among other things, Merger Sub will be merged with and into Exact Sciences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Exact Sciences surviving the Merger as a direct,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 set forth in Section 1(p) of the Underwriting Agreement shall be replaced in its entirety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and its subsidiaries (i) make and keep accurate books and records in all material respects and (ii) maintain internal accounting controls which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and appropriate action is taken with respect to any difference;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 set forth in Section 1(q) of the Underwriting Agreement shall be replaced in its entirety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has established, maintains and will maintain disclosure controls and procedures (as defined in Rule 13a-15(e) of the Exchange Act) which are designed to ensure that information required to be disclosed by the Company in the reports that it files or submits under the Exchange Act is recorded, processed, summarized and reported in accordance with the Exchange Act and the rules and regulations thereunder in all material respects. The Company has carried out and will carry out evaluations, under the supervision and with the participation of the Company’s management, of the effectiveness of the design and operation of the Company’s disclosure controls and procedures in accordance with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 set forth in Section 1(s) of the Underwriting Agreement shall be replaced in its entirety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 has audited and reported on certain financial statements of the Company and its subsidiaries and the effectiveness of the Company’s internal control over financial reporting. Ernst &amp; Young LLP is an independent registered public accounting firm with respect to the Company and its subsidiaries as required by the Securities Act and the Exchange Act and the rules and regulations of the Commission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 set forth in Section 1(u) of the Underwriting Agreement shall be replaced in its entirety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Neither the Company nor any of its subsidiaries nor, to the knowledge of the Company, any director, officer, agent, employee or affiliate of the Company or any of its subsidiaries is currently subject to or the target of any sanctions administered or enforced by the Office of Foreign Assets Control of the U.S. Treasury Department, the U.S. Department of State, the United Nations Security Council, the European Union, His Majesty’s Treasury, or other relevant sanctions authority in a jurisdiction material to the Company and its subsidiaries taken as a whole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located, organized or resident in a country that is the subject of Sanctions (including, without limitation, the so-called Donetsk People’s Republic, the so-called Luhansk People’s Republic, or any other Covered Region of Ukraine identified pursuant to Executive Order 14065, Crimea, Cuba, Iran and North Korea); and the Company will not directly or, to the knowledge of the Company, indirectly use the proceeds of the offering, or lend, contribute or otherwise make available such proceeds to any subsidiary, joint venture partner or other person or entity, for the purpose of financing the activities of any person, or in any country or territory, that at the time of such financing is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5(c)(vi) of the Underwriting Agreement shall be replaced in its entirety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Indenture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5(c)(ix) of the Underwriting Agreement shall be deleted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to be delivered pursuant to Section 5(c) of the Underwriting Agreement shall be delivered by Jessica Paik, Divisional Vice President, Associate General Counsel, and Assistant Secretary of the Company; and the opinion to be delivered pursuant to Section 5(d) of the Underwriting Agreement shall be delivered by Wachtell, Lipton, Rosen &amp; Katz, special counsel for the Company in a form agreed between Wachtell, Lipton, Rosen &amp; Katz and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letters to be delivered pursuant to Section 5(e) of the Underwriting Agreement shall be delivered by Ernst &amp; Young LLP, the independent accountant of the Company, to the effect set forth in Annex II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Agreement and Acknowledgment with Respect to the Exercise of Bail-in Powers:</w:t>
      </w:r>
      <w:r>
        <w:rPr>
          <w:rFonts w:ascii="Times New Roman;Times;Serif" w:hAnsi="Times New Roman;Times;Serif"/>
          <w:b w:val="false"/>
          <w:i w:val="false"/>
          <w:caps w:val="false"/>
          <w:smallCaps w:val="false"/>
          <w:sz w:val="20"/>
        </w:rPr>
        <w:t xml:space="preserve"> In addition to the other agreements contained in the Underwriting Agreement, the Company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and to the exclusion of any other term of this Pricing Agreement or any other agreements, arrangements or understanding between the Representatives and the Company, each of the parties to this Pricing Agreement acknowledges and accepts that a BRRD Liability arising under this Pricing Agreement may be subject to the exercise of Bail-in Powers by the Relevant Resolution Authority, and acknowledges, accepts,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effect of the exercise of Bail-in Powers by the Relevant Resolution Authority in relation to any BRRD Liability of an Underwriter to any other party under this Pricing Agreement, that (without limitation) may include and result in any of the following, or some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reduction of all, or a portion, of the BRRD Liability or outstanding amounts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conversion of all, or a portion of, the BRRD Liability into shares, other securities or other obligations of an Underwriter or another person, (and the issue to or conferral on such other party to this Pricing Agreement of such shares, securities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cancellation of the BRRD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amendment or alteration of any interest, if applicable, thereon, the maturity or the dates on which any payments are due, including by suspending payment for a temporary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variation of the terms of this Pricing Agreement, as deemed necessary by the Relevant Resolution Authority, to give effect to the exercise of Bail-in Powers by the Relevant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Pricing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“Bail-in Legislation” means in relation to a member state of the European Economic Area which has implemented, or which at any time implements, the BRRD, the relevant implementing law, regulation, rule or requirement as described in the EU Bail-in Legislation Schedule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“Bail-in Powers” means any Write-down and Conversion Powers as defined in the EU Bail-in Legislation Schedule, in relation to the relevant Bail-in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“BRRD” means Directive 2014/59/EU establishing a framework for the recovery and resolution of credit institutions and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“BRRD Liability” means a liability in respect of which the relevant Write-down and Conversion Powers in the applicable Bail-in Legislation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“EU Bail-in Legislation Schedule” means the document described as such, then in effect, and published by the Loan Market Association (or any successor person) from time to time at http://www.lma.eu.com.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“Relevant Resolution Authority” means the resolution authority with the ability to exercise any Bail-in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 xml:space="preserve"> In addition to the other agreements contained in the Underwriting Agreement, the Company agrees with each of the Underwriters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left"/>
              <w:rPr/>
            </w:pPr>
            <w:r>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(b)</w:t>
            </w:r>
          </w:p>
        </w:tc>
        <w:tc>
          <w:tcPr>
            <w:tcW w:w="9971" w:type="dxa"/>
            <w:tcBorders/>
            <w:vAlign w:val="center"/>
          </w:tcPr>
          <w:p>
            <w:pPr>
              <w:pStyle w:val="TableContents"/>
              <w:bidi w:val="0"/>
              <w:spacing w:before="0" w:after="283"/>
              <w:jc w:val="left"/>
              <w:rPr/>
            </w:pPr>
            <w:r>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20"/>
        <w:gridCol w:w="545"/>
        <w:gridCol w:w="2045"/>
      </w:tblGrid>
      <w:tr>
        <w:trPr/>
        <w:tc>
          <w:tcPr>
            <w:tcW w:w="7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sz w:val="20"/>
              </w:rPr>
            </w:pPr>
            <w:r>
              <w:rPr>
                <w:sz w:val="20"/>
              </w:rPr>
              <w:t>Abbott Laboratories</w:t>
            </w:r>
          </w:p>
        </w:tc>
      </w:tr>
      <w:tr>
        <w:trPr/>
        <w:tc>
          <w:tcPr>
            <w:tcW w:w="7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James R. Wenner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R. Wenner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Pricing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035"/>
        <w:gridCol w:w="75"/>
      </w:tblGrid>
      <w:tr>
        <w:trPr/>
        <w:tc>
          <w:tcPr>
            <w:tcW w:w="3370" w:type="dxa"/>
            <w:gridSpan w:val="2"/>
            <w:tcBorders/>
            <w:vAlign w:val="center"/>
          </w:tcPr>
          <w:p>
            <w:pPr>
              <w:pStyle w:val="TableContents"/>
              <w:bidi w:val="0"/>
              <w:spacing w:before="0" w:after="283"/>
              <w:jc w:val="left"/>
              <w:rPr/>
            </w:pPr>
            <w:r>
              <w:rPr/>
              <w:t>Accepted as of the date hereof:</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Morgan Stanley &amp; Co. LLC</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Hadley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behalf of each of the Underwriters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035"/>
        <w:gridCol w:w="75"/>
      </w:tblGrid>
      <w:tr>
        <w:trPr/>
        <w:tc>
          <w:tcPr>
            <w:tcW w:w="3370" w:type="dxa"/>
            <w:gridSpan w:val="2"/>
            <w:tcBorders/>
            <w:vAlign w:val="center"/>
          </w:tcPr>
          <w:p>
            <w:pPr>
              <w:pStyle w:val="TableContents"/>
              <w:bidi w:val="0"/>
              <w:spacing w:before="0" w:after="283"/>
              <w:jc w:val="left"/>
              <w:rPr/>
            </w:pPr>
            <w:r>
              <w:rPr/>
              <w:t>Accepted as of the date hereof:</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Barclays Capital Inc.</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Gutow</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behalf of each of the Underwriters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Accepted as of the date hereof:</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BofA Securities, Inc.</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Douglas Muller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behalf of each of the Underwriters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035"/>
        <w:gridCol w:w="75"/>
      </w:tblGrid>
      <w:tr>
        <w:trPr/>
        <w:tc>
          <w:tcPr>
            <w:tcW w:w="3370" w:type="dxa"/>
            <w:gridSpan w:val="2"/>
            <w:tcBorders/>
            <w:vAlign w:val="center"/>
          </w:tcPr>
          <w:p>
            <w:pPr>
              <w:pStyle w:val="TableContents"/>
              <w:bidi w:val="0"/>
              <w:spacing w:before="0" w:after="283"/>
              <w:jc w:val="left"/>
              <w:rPr/>
            </w:pPr>
            <w:r>
              <w:rPr/>
              <w:t>Accepted as of the date hereof:</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J.P. Morgan Securities LLC</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Saee Athalye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behalf of each of the Underwriters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Pricing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12595" w:type="dxa"/>
        <w:jc w:val="left"/>
        <w:tblInd w:w="0" w:type="dxa"/>
        <w:tblLayout w:type="fixed"/>
        <w:tblCellMar>
          <w:top w:w="0" w:type="dxa"/>
          <w:left w:w="0" w:type="dxa"/>
          <w:bottom w:w="28" w:type="dxa"/>
          <w:right w:w="0" w:type="dxa"/>
        </w:tblCellMar>
      </w:tblPr>
      <w:tblGrid>
        <w:gridCol w:w="1400"/>
        <w:gridCol w:w="60"/>
        <w:gridCol w:w="125"/>
        <w:gridCol w:w="1205"/>
        <w:gridCol w:w="60"/>
        <w:gridCol w:w="125"/>
        <w:gridCol w:w="1205"/>
        <w:gridCol w:w="60"/>
        <w:gridCol w:w="125"/>
        <w:gridCol w:w="1205"/>
        <w:gridCol w:w="60"/>
        <w:gridCol w:w="125"/>
        <w:gridCol w:w="1205"/>
        <w:gridCol w:w="60"/>
        <w:gridCol w:w="125"/>
        <w:gridCol w:w="1205"/>
        <w:gridCol w:w="60"/>
        <w:gridCol w:w="125"/>
        <w:gridCol w:w="1205"/>
        <w:gridCol w:w="60"/>
        <w:gridCol w:w="125"/>
        <w:gridCol w:w="1205"/>
        <w:gridCol w:w="60"/>
        <w:gridCol w:w="125"/>
        <w:gridCol w:w="1205"/>
        <w:gridCol w:w="75"/>
      </w:tblGrid>
      <w:tr>
        <w:trPr/>
        <w:tc>
          <w:tcPr>
            <w:tcW w:w="1400" w:type="dxa"/>
            <w:tcBorders>
              <w:bottom w:val="single" w:sz="8"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Floating Rate</w:t>
              <w:br/>
              <w:t>Notes due</w:t>
              <w:br/>
              <w:t>2029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2029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2031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2033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2036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2038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2056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Notes due</w:t>
              <w:br/>
              <w:t>2066</w:t>
            </w:r>
          </w:p>
        </w:tc>
        <w:tc>
          <w:tcPr>
            <w:tcW w:w="75"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Chartered Bank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Siebert Williams Shank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BBVA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ING Financial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7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w:t>
            </w:r>
          </w:p>
        </w:tc>
        <w:tc>
          <w:tcPr>
            <w:tcW w:w="7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7"/>
        <w:gridCol w:w="60"/>
        <w:gridCol w:w="7718"/>
      </w:tblGrid>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Floating Rate Notes due 2029 (the “Floating Rate Notes”)</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$1,000,000,000</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100.000% of the principal amount of the Floating Rate Notes, plus accrued interest from March 9, 2026 (if any). </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99.750% of the principal amount of the Floating Rate Notes, plus accrued interest from March 9, 2026 (if any).</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2029</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Floating Rate Notes will bear interest at a floating rate equal to a benchmark rate, which will initially be Compounded SOFR (as defined in the Prospectus Supplement under “Description of Notes”), plus a spread of 0.500% per year, accruing from March 9, 2026.</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June 9, September 9 and December 9, commencing June 9, 2026.</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Floating Rate Notes</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24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77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850" w:type="dxa"/>
        <w:jc w:val="left"/>
        <w:tblInd w:w="0" w:type="dxa"/>
        <w:tblLayout w:type="fixed"/>
        <w:tblCellMar>
          <w:top w:w="0" w:type="dxa"/>
          <w:left w:w="0" w:type="dxa"/>
          <w:bottom w:w="0" w:type="dxa"/>
          <w:right w:w="0" w:type="dxa"/>
        </w:tblCellMar>
      </w:tblPr>
      <w:tblGrid>
        <w:gridCol w:w="3470"/>
        <w:gridCol w:w="60"/>
        <w:gridCol w:w="6320"/>
      </w:tblGrid>
      <w:tr>
        <w:trPr/>
        <w:tc>
          <w:tcPr>
            <w:tcW w:w="3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r>
        <w:trPr/>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 Notes due 2029 (the “2029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$2,250,000,000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99.873% of the principal amount of the 2029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99.623% of the principal amount of the 2029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2029</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9 and September 9, commencing September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2029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Notes due 2031 (the “2031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$2,500,000,000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99.855% of the principal amount of the 2031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99.505% of the principal amount of the 2031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 commencing September 15,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2031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 Notes due 2033 (the “2033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$2,750,000,000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99.813% of the principal amount of the 2033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99.413% of the principal amount of the 2033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2033</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 commencing September 15,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2033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 Notes due 2036 (the “2036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99.753% of the principal amount of the 2036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99.303% of the principal amount of the 2036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4.650%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 commencing September 15,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2036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 Notes due 2038 (the “2038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99.718% of the principal amount of the 2038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99.243% of the principal amount of the 2038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2038</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 commencing September 15,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2038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Notes due 2056 (the “2056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99.882% of the principal amount of the 2056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99.007% of the principal amount of the 2056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2056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 commencing September 15,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2056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3"/>
        <w:gridCol w:w="60"/>
        <w:gridCol w:w="6282"/>
      </w:tblGrid>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Notes: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 Notes due 2066 (the “2066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$2,000,000,000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Pricing Effective Time: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p.m., New York City time, February 23,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99.872% of the principal amount of the 2066 Notes, plus accrued interest from March 9, 2026 (if any). </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Price by Underwriters: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98.997% of the principal amount of the 2066 Notes, plus accrued interest from March 9, 2026 (if any).</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of and specified funds for payment of purchase price: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wire transfer to a bank account specified by the Company in immediately available funds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March 10, 2015, between the Company and U.S. Bank National Association, as Trustee</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2066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5.600%</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 commencing September 15,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set forth in the Prospectus Supplement under “Description of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Sinking Fund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sinking fund provisions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Defeasance provisions: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Sections 13.2 and 13.3 of the Indenture shall be applicable to the 2066 Notes</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 of Delivery:</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Closing Location for Delivery of Securities: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Depository Trust Company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Water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10041</w:t>
            </w:r>
          </w:p>
        </w:tc>
      </w:tr>
      <w:tr>
        <w:trPr/>
        <w:tc>
          <w:tcPr>
            <w:tcW w:w="38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and addresses of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283"/>
              <w:jc w:val="left"/>
              <w:rPr/>
            </w:pPr>
            <w:r>
              <w:rPr/>
              <w:t> </w:t>
            </w:r>
          </w:p>
        </w:tc>
      </w:tr>
      <w:tr>
        <w:trPr/>
        <w:tc>
          <w:tcPr>
            <w:tcW w:w="3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Representatives:</w:t>
            </w:r>
          </w:p>
        </w:tc>
        <w:tc>
          <w:tcPr>
            <w:tcW w:w="60" w:type="dxa"/>
            <w:tcBorders/>
            <w:vAlign w:val="center"/>
          </w:tcPr>
          <w:p>
            <w:pPr>
              <w:pStyle w:val="TableContents"/>
              <w:bidi w:val="0"/>
              <w:spacing w:before="0" w:after="283"/>
              <w:jc w:val="left"/>
              <w:rPr/>
            </w:pPr>
            <w:r>
              <w:rPr/>
              <w:t> </w:t>
            </w:r>
          </w:p>
        </w:tc>
        <w:tc>
          <w:tcPr>
            <w:tcW w:w="62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25" w:type="dxa"/>
        <w:jc w:val="left"/>
        <w:tblInd w:w="0" w:type="dxa"/>
        <w:tblLayout w:type="fixed"/>
        <w:tblCellMar>
          <w:top w:w="0" w:type="dxa"/>
          <w:left w:w="0" w:type="dxa"/>
          <w:bottom w:w="0" w:type="dxa"/>
          <w:right w:w="0" w:type="dxa"/>
        </w:tblCellMar>
      </w:tblPr>
      <w:tblGrid>
        <w:gridCol w:w="2045"/>
        <w:gridCol w:w="60"/>
        <w:gridCol w:w="63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etc.:</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Investment Banking Division (fax: (212) 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 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term sheet set forth in the form of Schedule IV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Floating Rate Notes due 2029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1"/>
        <w:gridCol w:w="60"/>
        <w:gridCol w:w="8564"/>
      </w:tblGrid>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$1,000,000,000</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Floating Rate Notes will bear interest at a floating rate equal to a benchmark rate, which will initially be Compounded SOFR (as defined in the Prospectus Supplement under “Description of Notes”), plus a spread of 0.500% per year, accruing from March 9, 2026.</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2029</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pPr>
            <w:r>
              <w:rPr>
                <w:rFonts w:ascii="Times New Roman;Times;Serif" w:hAnsi="Times New Roman;Times;Serif"/>
                <w:sz w:val="20"/>
              </w:rPr>
              <w:t xml:space="preserve">100.000% </w:t>
            </w:r>
            <w:r>
              <w:rPr>
                <w:rFonts w:ascii="Times New Roman;Times;Serif" w:hAnsi="Times New Roman;Times;Serif"/>
              </w:rPr>
              <w:t>plus accrued interest, if any, from March 9, 2026</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Basis:</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Compounded SOFR</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Compounded SOFR:</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 bps</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March 9, June 9, September 9 and December 9, commencing June 9, 2026</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Determination Date:</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that is two U.S. Government Securities Business Days before each interest payment date.</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Period:</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period from, and including, the most recent interest payment date for the Floating Rate Notes (or, with respect to the initial interest period only, from and including March 9, 2026) to, but excluding, the next succeeding interest payment date for the Floating Rate Notes, or in the case of the last such period, from, and including, the interest payment date for the Floating Rate Notes immediately preceding the maturity date to, but excluding, the maturity date.</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Observation Period:</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respect of each interest period, the period from, and including, the date that is two U.S. Government Securities Business Days preceding the first date in such interest period to, but excluding, the Interest Payment Determination Date for such interest period.</w:t>
            </w:r>
          </w:p>
        </w:tc>
      </w:tr>
      <w:tr>
        <w:trPr/>
        <w:tc>
          <w:tcPr>
            <w:tcW w:w="1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5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70"/>
        <w:gridCol w:w="60"/>
        <w:gridCol w:w="7275"/>
      </w:tblGrid>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7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Floating Rate Notes are not redeemable prior to maturity, with the exception of a Special Mandatory Redemption.</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7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7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BY5</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72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7275" w:type="dxa"/>
            <w:tcBorders/>
            <w:vAlign w:val="center"/>
          </w:tcPr>
          <w:p>
            <w:pPr>
              <w:pStyle w:val="TableContents"/>
              <w:bidi w:val="0"/>
              <w:jc w:val="left"/>
              <w:rPr/>
            </w:pPr>
            <w:r>
              <w:rPr/>
              <w:t>BNP Paribas Securities Corp.</w:t>
            </w:r>
          </w:p>
          <w:p>
            <w:pPr>
              <w:pStyle w:val="TableContents"/>
              <w:bidi w:val="0"/>
              <w:jc w:val="left"/>
              <w:rPr/>
            </w:pPr>
            <w:r>
              <w:rPr/>
              <w:t>Deutsche Bank Securities Inc.</w:t>
            </w:r>
          </w:p>
          <w:p>
            <w:pPr>
              <w:pStyle w:val="TableContents"/>
              <w:bidi w:val="0"/>
              <w:jc w:val="left"/>
              <w:rPr/>
            </w:pPr>
            <w:r>
              <w:rPr/>
              <w:t>MUFG Securities Americas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 Agent:</w:t>
            </w:r>
          </w:p>
        </w:tc>
        <w:tc>
          <w:tcPr>
            <w:tcW w:w="60" w:type="dxa"/>
            <w:tcBorders/>
            <w:vAlign w:val="center"/>
          </w:tcPr>
          <w:p>
            <w:pPr>
              <w:pStyle w:val="TableContents"/>
              <w:bidi w:val="0"/>
              <w:spacing w:before="0" w:after="283"/>
              <w:jc w:val="left"/>
              <w:rPr/>
            </w:pPr>
            <w:r>
              <w:rPr/>
              <w:t> </w:t>
            </w:r>
          </w:p>
        </w:tc>
        <w:tc>
          <w:tcPr>
            <w:tcW w:w="7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 Notes due 2029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9"/>
        <w:gridCol w:w="60"/>
        <w:gridCol w:w="8926"/>
      </w:tblGrid>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$2,250,000,000</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3.700%</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2029</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pPr>
            <w:r>
              <w:rPr>
                <w:rFonts w:ascii="Times New Roman;Times;Serif" w:hAnsi="Times New Roman;Times;Serif"/>
                <w:sz w:val="20"/>
              </w:rPr>
              <w:t xml:space="preserve">99.873% </w:t>
            </w:r>
            <w:r>
              <w:rPr>
                <w:rFonts w:ascii="Times New Roman;Times;Serif" w:hAnsi="Times New Roman;Times;Serif"/>
              </w:rPr>
              <w:t>plus accrued interest, if any, from March 9, 2026</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3.745%</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3.500% due February 15, 2029</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 bps</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100-04 7/8 / 3.445%</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9 and September 9</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9, 2026</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9, 2029</w:t>
            </w:r>
          </w:p>
        </w:tc>
      </w:tr>
      <w:tr>
        <w:trPr/>
        <w:tc>
          <w:tcPr>
            <w:tcW w:w="1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5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BR0</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BNP Paribas Securities Corp.</w:t>
            </w:r>
          </w:p>
          <w:p>
            <w:pPr>
              <w:pStyle w:val="TableContents"/>
              <w:bidi w:val="0"/>
              <w:jc w:val="left"/>
              <w:rPr/>
            </w:pPr>
            <w:r>
              <w:rPr/>
              <w:t>Deutsche Bank Securities Inc.</w:t>
            </w:r>
          </w:p>
          <w:p>
            <w:pPr>
              <w:pStyle w:val="TableContents"/>
              <w:bidi w:val="0"/>
              <w:jc w:val="left"/>
              <w:rPr/>
            </w:pPr>
            <w:r>
              <w:rPr/>
              <w:t>MUFG Securities Americas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Notes due 2031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8927"/>
      </w:tblGrid>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$2,500,000,000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rFonts w:ascii="Times New Roman;Times;Serif" w:hAnsi="Times New Roman;Times;Serif"/>
                <w:sz w:val="20"/>
              </w:rPr>
              <w:t xml:space="preserve">99.855% </w:t>
            </w:r>
            <w:r>
              <w:rPr>
                <w:rFonts w:ascii="Times New Roman;Times;Serif" w:hAnsi="Times New Roman;Times;Serif"/>
              </w:rPr>
              <w:t>plus accrued interest, if any, from 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4.032%</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 due January 31, 2031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 bps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100-24 / 3.582%</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15, 2031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10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BS8</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Citigroup Global Markets Inc.</w:t>
            </w:r>
          </w:p>
          <w:p>
            <w:pPr>
              <w:pStyle w:val="TableContents"/>
              <w:bidi w:val="0"/>
              <w:jc w:val="left"/>
              <w:rPr/>
            </w:pPr>
            <w:r>
              <w:rPr/>
              <w:t>Deutsche Bank Securities Inc.</w:t>
            </w:r>
          </w:p>
          <w:p>
            <w:pPr>
              <w:pStyle w:val="TableContents"/>
              <w:bidi w:val="0"/>
              <w:jc w:val="left"/>
              <w:rPr/>
            </w:pPr>
            <w:r>
              <w:rPr/>
              <w:t>MUFG Securities Americas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 Notes due 2033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8927"/>
      </w:tblGrid>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$2,750,000,000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2033</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rFonts w:ascii="Times New Roman;Times;Serif" w:hAnsi="Times New Roman;Times;Serif"/>
                <w:sz w:val="20"/>
              </w:rPr>
              <w:t xml:space="preserve">99.813% </w:t>
            </w:r>
            <w:r>
              <w:rPr>
                <w:rFonts w:ascii="Times New Roman;Times;Serif" w:hAnsi="Times New Roman;Times;Serif"/>
              </w:rPr>
              <w:t>plus accrued interest, if any, from 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4.000% due January 31, 2033</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 bps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101-10 1/4 / 3.781%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15, 2033</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10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BT6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BNP Paribas Securities Corp.</w:t>
            </w:r>
          </w:p>
          <w:p>
            <w:pPr>
              <w:pStyle w:val="TableContents"/>
              <w:bidi w:val="0"/>
              <w:jc w:val="left"/>
              <w:rPr/>
            </w:pPr>
            <w:r>
              <w:rPr/>
              <w:t>Citigroup Global Markets Inc.</w:t>
            </w:r>
          </w:p>
          <w:p>
            <w:pPr>
              <w:pStyle w:val="TableContents"/>
              <w:bidi w:val="0"/>
              <w:jc w:val="left"/>
              <w:rPr/>
            </w:pPr>
            <w:r>
              <w:rPr/>
              <w:t>Deutsche Bank Securities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 Notes due 2036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8927"/>
      </w:tblGrid>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$3,750,000,000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4.650%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rFonts w:ascii="Times New Roman;Times;Serif" w:hAnsi="Times New Roman;Times;Serif"/>
                <w:sz w:val="20"/>
              </w:rPr>
              <w:t xml:space="preserve">99.753% </w:t>
            </w:r>
            <w:r>
              <w:rPr>
                <w:rFonts w:ascii="Times New Roman;Times;Serif" w:hAnsi="Times New Roman;Times;Serif"/>
              </w:rPr>
              <w:t>plus accrued interest, if any, from 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4.681%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4.125% due February 15, 2036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 bps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100-24 + / 4.031%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15, 2035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10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BU3</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BNP Paribas Securities Corp.</w:t>
            </w:r>
          </w:p>
          <w:p>
            <w:pPr>
              <w:pStyle w:val="TableContents"/>
              <w:bidi w:val="0"/>
              <w:jc w:val="left"/>
              <w:rPr/>
            </w:pPr>
            <w:r>
              <w:rPr/>
              <w:t>Citigroup Global Markets Inc.</w:t>
            </w:r>
          </w:p>
          <w:p>
            <w:pPr>
              <w:pStyle w:val="TableContents"/>
              <w:bidi w:val="0"/>
              <w:jc w:val="left"/>
              <w:rPr/>
            </w:pPr>
            <w:r>
              <w:rPr/>
              <w:t>Deutsche Bank Securities Inc.</w:t>
            </w:r>
          </w:p>
          <w:p>
            <w:pPr>
              <w:pStyle w:val="TableContents"/>
              <w:bidi w:val="0"/>
              <w:jc w:val="left"/>
              <w:rPr/>
            </w:pPr>
            <w:r>
              <w:rPr/>
              <w:t>MUFG Securities Americas Inc.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 Notes due 2038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8927"/>
      </w:tblGrid>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2038</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rFonts w:ascii="Times New Roman;Times;Serif" w:hAnsi="Times New Roman;Times;Serif"/>
                <w:sz w:val="20"/>
              </w:rPr>
              <w:t xml:space="preserve">99.718% </w:t>
            </w:r>
            <w:r>
              <w:rPr>
                <w:rFonts w:ascii="Times New Roman;Times;Serif" w:hAnsi="Times New Roman;Times;Serif"/>
              </w:rPr>
              <w:t>plus accrued interest, if any, from 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4.781%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4.125% due February 15, 2036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 bps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100-24 + / 4.031%</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15, 2037</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15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BV1</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Citigroup Global Markets Inc.</w:t>
            </w:r>
          </w:p>
          <w:p>
            <w:pPr>
              <w:pStyle w:val="TableContents"/>
              <w:bidi w:val="0"/>
              <w:jc w:val="left"/>
              <w:rPr/>
            </w:pPr>
            <w:r>
              <w:rPr/>
              <w:t>Deutsche Bank Securities Inc.</w:t>
            </w:r>
          </w:p>
          <w:p>
            <w:pPr>
              <w:pStyle w:val="TableContents"/>
              <w:bidi w:val="0"/>
              <w:jc w:val="left"/>
              <w:rPr/>
            </w:pPr>
            <w:r>
              <w:rPr/>
              <w:t>MUFG Securities Americas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Notes due 2056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8927"/>
      </w:tblGrid>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$3,750,000,000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2056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rFonts w:ascii="Times New Roman;Times;Serif" w:hAnsi="Times New Roman;Times;Serif"/>
                <w:sz w:val="20"/>
              </w:rPr>
              <w:t xml:space="preserve">99.882% </w:t>
            </w:r>
            <w:r>
              <w:rPr>
                <w:rFonts w:ascii="Times New Roman;Times;Serif" w:hAnsi="Times New Roman;Times;Serif"/>
              </w:rPr>
              <w:t>plus accrued interest, if any, from 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5.508%</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4.625% due November 15, 2055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 bps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98-21 + / 4.708%</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2055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15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BW9</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BNP Paribas Securities Corp.</w:t>
            </w:r>
          </w:p>
          <w:p>
            <w:pPr>
              <w:pStyle w:val="TableContents"/>
              <w:bidi w:val="0"/>
              <w:jc w:val="left"/>
              <w:rPr/>
            </w:pPr>
            <w:r>
              <w:rPr/>
              <w:t>Citigroup Global Markets Inc.</w:t>
            </w:r>
          </w:p>
          <w:p>
            <w:pPr>
              <w:pStyle w:val="TableContents"/>
              <w:bidi w:val="0"/>
              <w:jc w:val="left"/>
              <w:rPr/>
            </w:pPr>
            <w:r>
              <w:rPr/>
              <w:t>MUFG Securities Americas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 Notes due 2066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8927"/>
      </w:tblGrid>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Abbott Laboratories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$2,000,000,000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5.600%</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2066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pPr>
            <w:r>
              <w:rPr>
                <w:rFonts w:ascii="Times New Roman;Times;Serif" w:hAnsi="Times New Roman;Times;Serif"/>
                <w:sz w:val="20"/>
              </w:rPr>
              <w:t xml:space="preserve">99.872% </w:t>
            </w:r>
            <w:r>
              <w:rPr>
                <w:rFonts w:ascii="Times New Roman;Times;Serif" w:hAnsi="Times New Roman;Times;Serif"/>
              </w:rPr>
              <w:t>plus accrued interest, if any, from 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5.608%</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4.625% due November 15, 2055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 bps</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Price and Yield:</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98-21 + / 4.708%</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Dates: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Semiannually on March 15 and September 15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Coupon:</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Call Date:</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2065</w:t>
            </w:r>
          </w:p>
        </w:tc>
      </w:tr>
      <w:tr>
        <w:trPr/>
        <w:tc>
          <w:tcPr>
            <w:tcW w:w="1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Provisions:</w:t>
            </w:r>
          </w:p>
        </w:tc>
        <w:tc>
          <w:tcPr>
            <w:tcW w:w="60"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may redeem the notes at any time prior to the Par Call Date in whole or in part, in each case at Abbott’s option, at a redemption price (expressed as a percentage of principal amount and rounded to three decimal places) equal to the sum of: the greater of (1) 100% of the principal amount of the notes being redeemed, or (2) the sum of the present values of the remaining scheduled payments (through the Par Call Date assuming for such purpose the notes matured on the Par Call Date) of principal and interest on the notes being redeemed (exclusive of interest accrued to the redemption date), discounted to the redemption date on a semi-annual basis (assuming a 360-day year consisting of twelve 30-day months) at a rate equal to the Treasury Rate plus 15 basis points, plus, in either case, accrued and unpaid interest, if any, to, but excluding, the redemption date on the principal amount of the notes being redeemed.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60"/>
        <w:gridCol w:w="8397"/>
      </w:tblGrid>
      <w:tr>
        <w:trPr/>
        <w:tc>
          <w:tcPr>
            <w:tcW w:w="1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pPr>
            <w:r>
              <w:rPr/>
              <w:t>In addition, Abbott may redeem the notes at any time on or after the Par Call Date in whole or in part, in each case at Abbott’s option, at a redemption price equal to 100% of the principal amount of the notes to be redeemed plus accrued and unpaid interest, if any, to, but excluding, the redemption date.</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Mandatory Redemption Provisions: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described in the Preliminary Prospectus Supplement dated February 23, 2026.</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002824 BX7</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r>
      <w:tr>
        <w:trPr/>
        <w:tc>
          <w:tcPr>
            <w:tcW w:w="1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60" w:type="dxa"/>
            <w:tcBorders/>
            <w:vAlign w:val="center"/>
          </w:tcPr>
          <w:p>
            <w:pPr>
              <w:pStyle w:val="TableContents"/>
              <w:bidi w:val="0"/>
              <w:spacing w:before="0" w:after="283"/>
              <w:jc w:val="left"/>
              <w:rPr/>
            </w:pPr>
            <w:r>
              <w:rPr/>
              <w:t> </w:t>
            </w:r>
          </w:p>
        </w:tc>
        <w:tc>
          <w:tcPr>
            <w:tcW w:w="8397" w:type="dxa"/>
            <w:tcBorders/>
            <w:vAlign w:val="center"/>
          </w:tcPr>
          <w:p>
            <w:pPr>
              <w:pStyle w:val="TableContents"/>
              <w:bidi w:val="0"/>
              <w:jc w:val="left"/>
              <w:rPr/>
            </w:pPr>
            <w:r>
              <w:rPr/>
              <w:t>BNP Paribas Securities Corp.</w:t>
            </w:r>
          </w:p>
          <w:p>
            <w:pPr>
              <w:pStyle w:val="TableContents"/>
              <w:bidi w:val="0"/>
              <w:jc w:val="left"/>
              <w:rPr/>
            </w:pPr>
            <w:r>
              <w:rPr/>
              <w:t>Deutsche Bank Securities Inc.</w:t>
            </w:r>
          </w:p>
          <w:p>
            <w:pPr>
              <w:pStyle w:val="TableContents"/>
              <w:bidi w:val="0"/>
              <w:jc w:val="left"/>
              <w:rPr/>
            </w:pPr>
            <w:r>
              <w:rPr/>
              <w:t>MUFG Securities Americas Inc.</w:t>
            </w:r>
          </w:p>
          <w:p>
            <w:pPr>
              <w:pStyle w:val="TableContents"/>
              <w:bidi w:val="0"/>
              <w:jc w:val="left"/>
              <w:rPr/>
            </w:pPr>
            <w:r>
              <w:rPr/>
              <w:t>SG Americas Securities, LLC</w:t>
            </w:r>
          </w:p>
          <w:p>
            <w:pPr>
              <w:pStyle w:val="TableContents"/>
              <w:bidi w:val="0"/>
              <w:jc w:val="left"/>
              <w:rPr/>
            </w:pPr>
            <w:r>
              <w:rPr/>
              <w:t>HSBC Securities (USA) Inc.</w:t>
            </w:r>
          </w:p>
          <w:p>
            <w:pPr>
              <w:pStyle w:val="TableContents"/>
              <w:bidi w:val="0"/>
              <w:jc w:val="left"/>
              <w:rPr/>
            </w:pPr>
            <w:r>
              <w:rPr/>
              <w:t>Mizuho Securities USA LLC</w:t>
            </w:r>
          </w:p>
          <w:p>
            <w:pPr>
              <w:pStyle w:val="TableContents"/>
              <w:bidi w:val="0"/>
              <w:jc w:val="left"/>
              <w:rPr/>
            </w:pPr>
            <w:r>
              <w:rPr/>
              <w:t>Santander US Capital Markets LLC</w:t>
            </w:r>
          </w:p>
          <w:p>
            <w:pPr>
              <w:pStyle w:val="TableContents"/>
              <w:bidi w:val="0"/>
              <w:jc w:val="left"/>
              <w:rPr/>
            </w:pPr>
            <w:r>
              <w:rPr/>
              <w:t>Standard Chartered Bank</w:t>
            </w:r>
          </w:p>
          <w:p>
            <w:pPr>
              <w:pStyle w:val="TableContents"/>
              <w:bidi w:val="0"/>
              <w:jc w:val="left"/>
              <w:rPr/>
            </w:pPr>
            <w:r>
              <w:rPr/>
              <w:t>Goldman Sachs &amp; Co. LLC</w:t>
            </w:r>
          </w:p>
          <w:p>
            <w:pPr>
              <w:pStyle w:val="TableContents"/>
              <w:bidi w:val="0"/>
              <w:jc w:val="left"/>
              <w:rPr/>
            </w:pPr>
            <w:r>
              <w:rPr/>
              <w:t>RBC Capital Markets, LLC</w:t>
            </w:r>
          </w:p>
          <w:p>
            <w:pPr>
              <w:pStyle w:val="TableContents"/>
              <w:bidi w:val="0"/>
              <w:jc w:val="left"/>
              <w:rPr/>
            </w:pPr>
            <w:r>
              <w:rPr/>
              <w:t>Siebert Williams Shank &amp; Co., LLC</w:t>
            </w:r>
          </w:p>
          <w:p>
            <w:pPr>
              <w:pStyle w:val="TableContents"/>
              <w:bidi w:val="0"/>
              <w:jc w:val="left"/>
              <w:rPr/>
            </w:pPr>
            <w:r>
              <w:rPr/>
              <w:t>Academy Securities, Inc.</w:t>
            </w:r>
          </w:p>
          <w:p>
            <w:pPr>
              <w:pStyle w:val="TableContents"/>
              <w:bidi w:val="0"/>
              <w:jc w:val="left"/>
              <w:rPr/>
            </w:pPr>
            <w:r>
              <w:rPr/>
              <w:t>BBVA Securities Inc.</w:t>
            </w:r>
          </w:p>
          <w:p>
            <w:pPr>
              <w:pStyle w:val="TableContents"/>
              <w:bidi w:val="0"/>
              <w:jc w:val="left"/>
              <w:rPr/>
            </w:pPr>
            <w:r>
              <w:rPr/>
              <w:t>ING Financial Markets LLC</w:t>
            </w:r>
          </w:p>
          <w:p>
            <w:pPr>
              <w:pStyle w:val="TableContents"/>
              <w:bidi w:val="0"/>
              <w:spacing w:before="0" w:after="283"/>
              <w:jc w:val="left"/>
              <w:rPr/>
            </w:pPr>
            <w:r>
              <w:rPr/>
              <w:t>U.S. Bancorp Investments,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Commission for the offering to which this communication relates. Before you invest, you should read the prospectus in that registration statement and other documents the issuer has filed with the Commission for more complete information about the issuer and this offering. You may get these documents for free by visiting EDGAR on the Commission website at www.sec.gov. Alternatively, the issuer, any underwriter or any dealer participating in the offering will arrange to send you the prospectus if you request it by calling Morgan Stanley &amp; Co. LLC, toll-free at (866) 718-1649, Barclays Capital Inc. at (888) 603-5847, BofA Securities, Inc. toll-free at 1-800-294-1322 or J.P. Morgan Securities LLC collect at (212) 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expects to deliver the notes against payment for the notes on or about March 9, 2026, which will be the tenth business day following the date of the pricing of the notes. Under Rule 15c6-1 of the Exchange Act, trades in the secondary market generally are required to settle in one business day, unless the parties to a trade expressly agree otherwise. Accordingly, purchasers who wish to trade their notes prior to the business day before the delivery of the notes hereunder will be required, by virtue of the fact that the notes initially will settle in T+10, to specify alternative settlement arrangements to prevent a failed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11144</Words>
  <Characters>60413</Characters>
  <CharactersWithSpaces>71516</CharactersWithSpaces>
  <Paragraphs>2281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